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1.jpg" ContentType="image/jpeg"/>
  <Override PartName="/word/media/rId82.jpg" ContentType="image/jpeg"/>
  <Override PartName="/word/media/rId39.png" ContentType="image/png"/>
  <Override PartName="/word/media/rId79.jpg" ContentType="image/jpeg"/>
  <Override PartName="/word/media/rId101.jpg" ContentType="image/jpeg"/>
  <Override PartName="/word/media/rId42.png" ContentType="image/png"/>
  <Override PartName="/word/media/rId102.jpg" ContentType="image/jpeg"/>
  <Override PartName="/word/media/rId85.jpg" ContentType="image/jpeg"/>
  <Override PartName="/word/media/rId84.jpg" ContentType="image/jpeg"/>
  <Override PartName="/word/media/rId103.jpg" ContentType="image/jpeg"/>
  <Override PartName="/word/media/rId104.jpg" ContentType="image/jpeg"/>
  <Override PartName="/word/media/rId46.png" ContentType="image/png"/>
  <Override PartName="/word/media/rId4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April</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X56a9ecc5cf2e0aa628e078dfedd7747dd2d858c"/>
      <w:r>
        <w:t xml:space="preserve">Abstract (max 350 words) - roman numeral TOC</w:t>
      </w:r>
      <w:bookmarkEnd w:id="20"/>
    </w:p>
    <w:p>
      <w:pPr>
        <w:pStyle w:val="FirstParagraph"/>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1"/>
      </w:pPr>
      <w:bookmarkStart w:id="21" w:name="X54c98ab769191a1bb69355fb7c873e09a969d75"/>
      <w:r>
        <w:t xml:space="preserve">Lay Summary (max 150 words) - roman numeral TOC</w:t>
      </w:r>
      <w:bookmarkEnd w:id="21"/>
    </w:p>
    <w:p>
      <w:pPr>
        <w:pStyle w:val="FirstParagraph"/>
      </w:pPr>
      <w:r>
        <w:t xml:space="preserve">include plain-language summary</w:t>
      </w:r>
    </w:p>
    <w:p>
      <w:pPr>
        <w:pStyle w:val="Heading1"/>
      </w:pPr>
      <w:bookmarkStart w:id="22" w:name="preface---roman-numeral-toc"/>
      <w:r>
        <w:t xml:space="preserve">Preface - roman numeral TOC</w:t>
      </w:r>
      <w:bookmarkEnd w:id="22"/>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*TOC follows, then LOT, LOF, List of Illustrations, list of abbreviations</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people: Tobi Gardner, Annette Constabel, Kathy Haesevoats, Joel Ussery, Ryan Biggs, Patrick McCoubrey, Burn Hemus, Christoph Moch, Jessica Dupuis, and Devon Barnes.</w:t>
      </w:r>
    </w:p>
    <w:p>
      <w:pPr>
        <w:pStyle w:val="BodyText"/>
      </w:pPr>
      <w:r>
        <w:t xml:space="preserve">I’m grateful to have been supported by the entire CRD Field Operations Staff, thanks for making me feel welcome and included on site.</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w:t>
      </w:r>
    </w:p>
    <w:p>
      <w:pPr>
        <w:pStyle w:val="BodyText"/>
      </w:pPr>
      <w:r>
        <w:t xml:space="preserve">For help with field installations and streamflow gauging, a big thanks to my former field partner, Stewart Butler, of Bill Floyd’s Coastal Hydrology Research Lab; thanks Stew. Thanks also to Alison Bishop for field assistance during the winter of 2019/2020.</w:t>
      </w:r>
    </w:p>
    <w:p>
      <w:pPr>
        <w:pStyle w:val="BodyText"/>
      </w:pPr>
      <w:r>
        <w:t xml:space="preserve">Last but certainly not least, thanks to my wonderful friends and family for supporting me in my scientific and academic pursuits. I really appreciate all the love and support, bike rides and beers, proof-reading and encouragement.</w:t>
      </w:r>
    </w:p>
    <w:p>
      <w:pPr>
        <w:pStyle w:val="Heading1"/>
      </w:pPr>
      <w:bookmarkStart w:id="25" w:name="dedication"/>
      <w:r>
        <w:t xml:space="preserve">Dedication</w:t>
      </w:r>
      <w:bookmarkEnd w:id="25"/>
    </w:p>
    <w:p>
      <w:pPr>
        <w:pStyle w:val="FirstParagraph"/>
      </w:pPr>
      <w:r>
        <w:t xml:space="preserve">To each person who reads this thesis in its entirety.</w:t>
      </w:r>
    </w:p>
    <w:p>
      <w:pPr>
        <w:pStyle w:val="BodyText"/>
      </w:pPr>
      <w:r>
        <w:t xml:space="preserve">For the love of data science, I am grateful for Jenny Byran’s online resources, StackOverflow (</w:t>
      </w:r>
      <w:hyperlink r:id="rId26">
        <w:r>
          <w:rPr>
            <w:rStyle w:val="Hyperlink"/>
          </w:rPr>
          <w:t xml:space="preserve">http://stackoverflow.com</w:t>
        </w:r>
      </w:hyperlink>
      <w:r>
        <w:t xml:space="preserve">) for the solution to so many coding challenges.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w:t>
      </w:r>
      <w:r>
        <w:t xml:space="preserve">Not only is it vital to all biological functions on earth, water links abiotic and biotic, connects the earth to the atmosphere, and creates a dynamic fluid continuum between ecosystems.</w:t>
      </w:r>
      <w:r>
        <w:t xml:space="preserve">”</w:t>
      </w:r>
      <w:r>
        <w:t xml:space="preserve"> </w:t>
      </w:r>
      <w:r>
        <w:t xml:space="preserve">~ Hannah McSorley</w:t>
      </w:r>
    </w:p>
    <w:p>
      <w:pPr>
        <w:pStyle w:val="Heading1"/>
      </w:pPr>
      <w:bookmarkStart w:id="27" w:name="introduction"/>
      <w:r>
        <w:t xml:space="preserve">1 Introduction</w:t>
      </w:r>
      <w:bookmarkEnd w:id="27"/>
    </w:p>
    <w:p>
      <w:pPr>
        <w:pStyle w:val="Heading2"/>
      </w:pPr>
      <w:bookmarkStart w:id="28" w:name="X950a60ad65bf96ca879ca6f7ac714147c4499d1"/>
      <w:r>
        <w:t xml:space="preserve">1.1 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to surface water</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Drinking water treatment processes vary from simple chlorination to multiple stages of chemically assisted filtration in combination with advanced oxidative processes. Water treatment protocols differ between communities based on source water quality, infrastructure capabilities, budget, and regional water quality regulations [!!REFS]. Chlorination remains the most widely used method of inactivating potentially harmful microorganisms, whether it stands alone as the primary and sole treatment protocol, or is used in combination with other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When natural source water is chlorinated, chemical reactions with natural organic matter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DBPs are included in Health Canada’s drinking water quality guidelines, and have maximum allowable concentrations in treated water due to their potential or known health affects (i.e., genotoxicity and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w:t>
      </w:r>
      <w:r>
        <w:t xml:space="preserve">.</w:t>
      </w:r>
    </w:p>
    <w:p>
      <w:pPr>
        <w:pStyle w:val="Heading2"/>
      </w:pPr>
      <w:bookmarkStart w:id="29" w:name="aqueous-natural-organic-matter"/>
      <w:r>
        <w:t xml:space="preserve">1.2 Aqueous natural organic matter</w:t>
      </w:r>
      <w:bookmarkEnd w:id="29"/>
    </w:p>
    <w:p>
      <w:pPr>
        <w:pStyle w:val="FirstParagraph"/>
      </w:pPr>
      <w:r>
        <w:t xml:space="preserve">Source water treatability varies with Natural organic matter (NOM) concentration and character, which depend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NOM molecules contain nitrogen, silica, oxygen and hydrogen but are composed primarily of organic carbon; thus, organic carbon is often measured as a proxy for NOM concentration</w:t>
      </w:r>
      <w:r>
        <w:t xml:space="preserve"> </w:t>
      </w:r>
      <w:r>
        <w:t xml:space="preserve">(Health Canada</w:t>
      </w:r>
      <w:r>
        <w:t xml:space="preserve"> </w:t>
      </w:r>
      <w:hyperlink w:anchor="ref-HealthCanada2019">
        <w:r>
          <w:rPr>
            <w:rStyle w:val="Hyperlink"/>
          </w:rPr>
          <w:t xml:space="preserve">2019</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aqueous TOC,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As DOC is likely to generate DBPs during chlorination, it is an important source water quality parameter to monitor. In fact, guidelines in British Columbia specify that source water TOC should remain below 4 mg/L to reduce DBPs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In addition to acting as a precursor for DBPs, NOM has the ability to bind and transport contaminants in solution (e.g. metals, organic pollutants, nutrients) and influences stream pH, as well as aquatic light and temperature regimes</w:t>
      </w:r>
      <w:r>
        <w:t xml:space="preserve"> </w:t>
      </w:r>
      <w:r>
        <w:t xml:space="preserve">(Oni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NOM is an energy source for aquatic heterotrophic microbes</w:t>
      </w:r>
      <w:r>
        <w:t xml:space="preserve"> </w:t>
      </w:r>
      <w:r>
        <w:t xml:space="preserve">(Stanley et al.</w:t>
      </w:r>
      <w:r>
        <w:t xml:space="preserve"> </w:t>
      </w:r>
      <w:hyperlink w:anchor="ref-Stanley2012">
        <w:r>
          <w:rPr>
            <w:rStyle w:val="Hyperlink"/>
          </w:rPr>
          <w:t xml:space="preserve">2012</w:t>
        </w:r>
      </w:hyperlink>
      <w:r>
        <w:t xml:space="preserve">)</w:t>
      </w:r>
      <w:r>
        <w:t xml:space="preserve"> </w:t>
      </w:r>
      <w:r>
        <w:t xml:space="preserve">and as such, could contribute to biofouling of water supply and treatment infrastructure (which could lead to service disruptions). DOC has been called a</w:t>
      </w:r>
      <w:r>
        <w:t xml:space="preserve"> </w:t>
      </w:r>
      <w:r>
        <w:t xml:space="preserve">“</w:t>
      </w:r>
      <w:r>
        <w:t xml:space="preserve">master variable</w:t>
      </w:r>
      <w:r>
        <w:t xml:space="preserve">”</w:t>
      </w:r>
      <w:r>
        <w:t xml:space="preserve"> </w:t>
      </w:r>
      <w:r>
        <w:t xml:space="preserve">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@Yang2015)</w:t>
      </w:r>
      <w:r>
        <w:t xml:space="preserve">.</w:t>
      </w:r>
    </w:p>
    <w:p>
      <w:pPr>
        <w:pStyle w:val="Heading2"/>
      </w:pPr>
      <w:bookmarkStart w:id="30" w:name="watershed-processes-and-water-quality"/>
      <w:r>
        <w:t xml:space="preserve">1.3 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particularly with respect to disinfection byproducts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r>
        <w:t xml:space="preserve"> </w:t>
      </w:r>
      <w:r>
        <w:t xml:space="preserve">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the majority of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Heading2"/>
      </w:pPr>
      <w:bookmarkStart w:id="31" w:name="forwater-crd-gvwsa"/>
      <w:r>
        <w:t xml:space="preserve">1.4 forWater &amp; CRD GVWSA</w:t>
      </w:r>
      <w:bookmarkEnd w:id="31"/>
    </w:p>
    <w:p>
      <w:pPr>
        <w:pStyle w:val="Heading3"/>
      </w:pPr>
      <w:bookmarkStart w:id="32" w:name="X643ec34c0f615ff7e86edfe429d04afd53e5a94"/>
      <w:r>
        <w:t xml:space="preserve">1.4.1 The forWater NSERC Strategic Network for forested drinking water source protection technologies</w:t>
      </w:r>
      <w:bookmarkEnd w:id="32"/>
    </w:p>
    <w:p>
      <w:pPr>
        <w:pStyle w:val="FirstParagraph"/>
      </w:pPr>
      <w:r>
        <w:t xml:space="preserve">The NSERC Strategic Network, forWater,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treatement demands.</w:t>
      </w:r>
    </w:p>
    <w:p>
      <w:pPr>
        <w:pStyle w:val="BodyText"/>
      </w:pPr>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It has been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High intensity and/or long duration precipitation events can deplete both terrestrial and aquatic NOM storage sources (e.g. high flows can disturb benthic NOM storage)</w:t>
      </w:r>
      <w:r>
        <w:t xml:space="preserve"> </w:t>
      </w:r>
      <w:r>
        <w:t xml:space="preserve">(Meyer and Tate</w:t>
      </w:r>
      <w:r>
        <w:t xml:space="preserve"> </w:t>
      </w:r>
      <w:hyperlink w:anchor="ref-Meyer1983">
        <w:r>
          <w:rPr>
            <w:rStyle w:val="Hyperlink"/>
          </w:rPr>
          <w:t xml:space="preserve">1983</w:t>
        </w:r>
      </w:hyperlink>
      <w:r>
        <w:t xml:space="preserve">)</w:t>
      </w:r>
      <w:r>
        <w:t xml:space="preserve">. Understanding the hydrochemistry of a water supply area is key to conducting informed preventative forest management applications.</w:t>
      </w:r>
    </w:p>
    <w:p>
      <w:pPr>
        <w:pStyle w:val="Heading3"/>
      </w:pPr>
      <w:bookmarkStart w:id="33" w:name="greater-victoria-water-supply-areas"/>
      <w:r>
        <w:t xml:space="preserve">1.3.2 Greater Victoria Water Supply Areas</w:t>
      </w:r>
      <w:bookmarkEnd w:id="33"/>
    </w:p>
    <w:p>
      <w:pPr>
        <w:pStyle w:val="FirstParagraph"/>
      </w:pPr>
      <w:r>
        <w:t xml:space="preserve">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4"/>
      </w:pPr>
      <w:bookmarkStart w:id="34" w:name="forest-management"/>
      <w:r>
        <w:t xml:space="preserve">1.3.2.1 Forest management</w:t>
      </w:r>
      <w:bookmarkEnd w:id="34"/>
    </w:p>
    <w:p>
      <w:pPr>
        <w:pStyle w:val="FirstParagraph"/>
      </w:pPr>
      <w:r>
        <w:t xml:space="preserve">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may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Heading4"/>
      </w:pPr>
      <w:bookmarkStart w:id="35" w:name="Xa16e3865f55dfa335216c3b7e239c586bbd6383"/>
      <w:r>
        <w:t xml:space="preserve">1.3.2.2 Greater Victoria Drinking Water Treatment</w:t>
      </w:r>
      <w:bookmarkEnd w:id="35"/>
    </w:p>
    <w:p>
      <w:pPr>
        <w:pStyle w:val="FirstParagraph"/>
      </w:pPr>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is fairly simple: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distribution). Understanding dynamics and variability of hydrochemistry in the LWSA is needed to anticipate possible treatment challenges that may accompany future inter-basin transfer from the LWSA.</w:t>
      </w:r>
    </w:p>
    <w:p>
      <w:pPr>
        <w:pStyle w:val="Heading2"/>
      </w:pPr>
      <w:bookmarkStart w:id="36" w:name="research-objectives"/>
      <w:r>
        <w:t xml:space="preserve">1.5 Research Objectives</w:t>
      </w:r>
      <w:bookmarkEnd w:id="36"/>
    </w:p>
    <w:p>
      <w:pPr>
        <w:pStyle w:val="FirstParagraph"/>
      </w:pPr>
      <w:r>
        <w:t xml:space="preserve">As a member of the Watershed Science and Forest Management Theme of forWater,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1"/>
      </w:pPr>
      <w:bookmarkStart w:id="37" w:name="methods"/>
      <w:r>
        <w:t xml:space="preserve">2 Methods</w:t>
      </w:r>
      <w:bookmarkEnd w:id="37"/>
    </w:p>
    <w:p>
      <w:pPr>
        <w:pStyle w:val="Heading2"/>
      </w:pPr>
      <w:bookmarkStart w:id="38" w:name="study-site-leech-river-watershed"/>
      <w:r>
        <w:t xml:space="preserve">2.1 Study Site: Leech River Watershed</w:t>
      </w:r>
      <w:bookmarkEnd w:id="38"/>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 shows the Leech and Sooke Water Supply areas with elevation.</w:t>
      </w:r>
    </w:p>
    <w:p>
      <w:pPr>
        <w:pStyle w:val="BodyText"/>
      </w:pPr>
      <w:r>
        <w:t xml:space="preserve"> </w:t>
      </w:r>
      <w:r>
        <w:drawing>
          <wp:inline>
            <wp:extent cx="5943600" cy="5230705"/>
            <wp:effectExtent b="0" l="0" r="0" t="0"/>
            <wp:docPr descr="__Figure_The Leech and Sooke Water Supply Areas (Greater Victoria, CRD)" title="" id="1" name="Picture"/>
            <a:graphic>
              <a:graphicData uri="http://schemas.openxmlformats.org/drawingml/2006/picture">
                <pic:pic>
                  <pic:nvPicPr>
                    <pic:cNvPr descr="R-inputs_UBC-forWater-MSc_HMc/images/GVWSA_map-3.png" id="0" name="Picture"/>
                    <pic:cNvPicPr>
                      <a:picLocks noChangeArrowheads="1" noChangeAspect="1"/>
                    </pic:cNvPicPr>
                  </pic:nvPicPr>
                  <pic:blipFill>
                    <a:blip r:embed="rId39"/>
                    <a:stretch>
                      <a:fillRect/>
                    </a:stretch>
                  </pic:blipFill>
                  <pic:spPr bwMode="auto">
                    <a:xfrm>
                      <a:off x="0" y="0"/>
                      <a:ext cx="5943600" cy="5230705"/>
                    </a:xfrm>
                    <a:prstGeom prst="rect">
                      <a:avLst/>
                    </a:prstGeom>
                    <a:noFill/>
                    <a:ln w="9525">
                      <a:noFill/>
                      <a:headEnd/>
                      <a:tailEnd/>
                    </a:ln>
                  </pic:spPr>
                </pic:pic>
              </a:graphicData>
            </a:graphic>
          </wp:inline>
        </w:drawing>
      </w: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3"/>
      </w:pPr>
      <w:bookmarkStart w:id="40" w:name="climate-weather-forests"/>
      <w:r>
        <w:t xml:space="preserve">2.1.1 Climate, Weather, Forests</w:t>
      </w:r>
      <w:bookmarkEnd w:id="40"/>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2018-01-01 to 2020-01-30. Rainfall and air temperature from each of the two LWSA weather stations is shown in Figure</w:t>
      </w:r>
      <w:r>
        <w:t xml:space="preserve"> </w:t>
      </w:r>
      <w:r>
        <w:t xml:space="preserve">??</w:t>
      </w:r>
      <w:r>
        <w:t xml:space="preserve">. Slightly more precipitation was recorded at Martin’s Gulch than Chris Creek station. Between the two sites, average annual rainfalls were 2010 mm in 2018, and 1460 mm in 2019. In January 2020, the LWSA weather stations recorded 512 mm of rain (including periods of rain on snow).</w:t>
      </w:r>
    </w:p>
    <w:p>
      <w:pPr>
        <w:pStyle w:val="BodyText"/>
      </w:pPr>
      <w:r>
        <w:t xml:space="preserve">These data included air temperature and precipitation. Precipitation data acquired from the CRD was used to delineate storms using (R package Rainmaker). Temperature data was referenced to subbasin temperatures recorded by vertical rack TidbiT loggers.</w:t>
      </w:r>
    </w:p>
    <w:p>
      <w:pPr>
        <w:pStyle w:val="BodyText"/>
      </w:pPr>
    </w:p>
    <w:p>
      <w:pPr>
        <w:pStyle w:val="BodyText"/>
      </w:pPr>
    </w:p>
    <w:p>
      <w:pPr>
        <w:pStyle w:val="BodyText"/>
      </w:pPr>
      <w:r>
        <w:t xml:space="preserve">There is a weather station on the Malahat mountain pass, east of the study site (ID 62091, BC Ministry of Transportation and Infrastructure and Pacific Climate Impacts) that had precipitation and air temperature data available from 2014 to 2020. Figure</w:t>
      </w:r>
      <w:r>
        <w:t xml:space="preserve"> </w:t>
      </w:r>
      <w:r>
        <w:t xml:space="preserve">??</w:t>
      </w:r>
      <w:r>
        <w:t xml:space="preserve"> </w:t>
      </w:r>
      <w:r>
        <w:t xml:space="preserve">shows weather data from the Malahat weather station and highlights the period in which this research occurred in which there were no obvious deviations from previous years.</w:t>
      </w:r>
    </w:p>
    <w:p>
      <w:pPr>
        <w:pStyle w:val="BodyText"/>
      </w:pPr>
    </w:p>
    <w:p>
      <w:pPr>
        <w:pStyle w:val="BodyText"/>
      </w:pPr>
    </w:p>
    <w:p>
      <w:pPr>
        <w:pStyle w:val="Heading3"/>
      </w:pPr>
      <w:bookmarkStart w:id="41" w:name="synoptic-sampling-sites"/>
      <w:r>
        <w:t xml:space="preserve">2.1.2 Synoptic sampling sites</w:t>
      </w:r>
      <w:bookmarkEnd w:id="41"/>
    </w:p>
    <w:p>
      <w:pPr>
        <w:pStyle w:val="FirstParagraph"/>
      </w:pPr>
      <w:r>
        <w:t xml:space="preserve">Fifteen sites were sampled synoptically from October 2018 to February 2020. Figure ### shows the locations of the synoptically sampled sites as well as the two weather stations.</w:t>
      </w:r>
      <w:r>
        <w:t xml:space="preserve"> </w:t>
      </w:r>
      <w:r>
        <w:t xml:space="preserve"> </w:t>
      </w:r>
      <w:r>
        <w:drawing>
          <wp:inline>
            <wp:extent cx="5943600" cy="4224742"/>
            <wp:effectExtent b="0" l="0" r="0" t="0"/>
            <wp:docPr descr="__Figure_The Leech and Sooke Water Supply Areas (Greater Victoria, CRD)" title="" id="1" name="Picture"/>
            <a:graphic>
              <a:graphicData uri="http://schemas.openxmlformats.org/drawingml/2006/picture">
                <pic:pic>
                  <pic:nvPicPr>
                    <pic:cNvPr descr="R-inputs_UBC-forWater-MSc_HMc/images/Sample-Sites_Wx_map.png" id="0" name="Picture"/>
                    <pic:cNvPicPr>
                      <a:picLocks noChangeArrowheads="1" noChangeAspect="1"/>
                    </pic:cNvPicPr>
                  </pic:nvPicPr>
                  <pic:blipFill>
                    <a:blip r:embed="rId42"/>
                    <a:stretch>
                      <a:fillRect/>
                    </a:stretch>
                  </pic:blipFill>
                  <pic:spPr bwMode="auto">
                    <a:xfrm>
                      <a:off x="0" y="0"/>
                      <a:ext cx="5943600" cy="4224742"/>
                    </a:xfrm>
                    <a:prstGeom prst="rect">
                      <a:avLst/>
                    </a:prstGeom>
                    <a:noFill/>
                    <a:ln w="9525">
                      <a:noFill/>
                      <a:headEnd/>
                      <a:tailEnd/>
                    </a:ln>
                  </pic:spPr>
                </pic:pic>
              </a:graphicData>
            </a:graphic>
          </wp:inline>
        </w:drawing>
      </w:r>
      <w:r>
        <w:t xml:space="preserve"> </w:t>
      </w:r>
    </w:p>
    <w:p>
      <w:pPr>
        <w:pStyle w:val="BodyText"/>
      </w:pPr>
      <w:r>
        <w:t xml:space="preserve">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pPr>
        <w:pStyle w:val="Heading3"/>
      </w:pPr>
      <w:bookmarkStart w:id="43" w:name="subbasin-monitoring-sites"/>
      <w:r>
        <w:t xml:space="preserve">2.1.3 Subbasin monitoring sites</w:t>
      </w:r>
      <w:bookmarkEnd w:id="43"/>
    </w:p>
    <w:p>
      <w:pPr>
        <w:pStyle w:val="FirstParagraph"/>
      </w:pPr>
      <w:r>
        <w:t xml:space="preserve">Six sites were selected across the Leech Water Supply Area which represent five nested catchments and the entire water supply area basin defined from the point of (future) diversion, the Leech Tunnel. These subbasin research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pPr>
        <w:pStyle w:val="CaptionedFigure"/>
      </w:pPr>
      <w:r>
        <w:drawing>
          <wp:inline>
            <wp:extent cx="4980432" cy="5504688"/>
            <wp:effectExtent b="0" l="0" r="0" t="0"/>
            <wp:docPr descr="__Figure_Subbasin monitoring sites in the Leech Water Supply Area" title="" id="1" name="Picture"/>
            <a:graphic>
              <a:graphicData uri="http://schemas.openxmlformats.org/drawingml/2006/picture">
                <pic:pic>
                  <pic:nvPicPr>
                    <pic:cNvPr descr="R-inputs_UBC-forWater-MSc_HMc/images/sub-basins.jpg" id="0" name="Picture"/>
                    <pic:cNvPicPr>
                      <a:picLocks noChangeArrowheads="1" noChangeAspect="1"/>
                    </pic:cNvPicPr>
                  </pic:nvPicPr>
                  <pic:blipFill>
                    <a:blip r:embed="rId44"/>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t xml:space="preserve">__Figure_</w:t>
      </w:r>
      <w:r>
        <w:rPr>
          <w:i/>
        </w:rPr>
        <w:t xml:space="preserve">Subbasin monitoring sites in the Leech Water Supply Area</w:t>
      </w:r>
    </w:p>
    <w:p>
      <w:pPr>
        <w:pStyle w:val="BodyText"/>
      </w:pPr>
    </w:p>
    <w:p>
      <w:pPr>
        <w:pStyle w:val="BodyText"/>
      </w:pPr>
    </w:p>
    <w:p>
      <w:pPr>
        <w:pStyle w:val="Heading4"/>
      </w:pPr>
      <w:bookmarkStart w:id="45" w:name="subbasin-sampling-and-installations"/>
      <w:r>
        <w:t xml:space="preserve">2.1.3.1 Subbasin sampling and installations</w:t>
      </w:r>
      <w:bookmarkEnd w:id="45"/>
    </w:p>
    <w:p>
      <w:pPr>
        <w:pStyle w:val="FirstParagraph"/>
      </w:pPr>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r>
        <w:drawing>
          <wp:inline>
            <wp:extent cx="3474720" cy="6648994"/>
            <wp:effectExtent b="0" l="0" r="0" t="0"/>
            <wp:docPr descr="Figure ###: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46"/>
                    <a:stretch>
                      <a:fillRect/>
                    </a:stretch>
                  </pic:blipFill>
                  <pic:spPr bwMode="auto">
                    <a:xfrm>
                      <a:off x="0" y="0"/>
                      <a:ext cx="3474720" cy="6648994"/>
                    </a:xfrm>
                    <a:prstGeom prst="rect">
                      <a:avLst/>
                    </a:prstGeom>
                    <a:noFill/>
                    <a:ln w="9525">
                      <a:noFill/>
                      <a:headEnd/>
                      <a:tailEnd/>
                    </a:ln>
                  </pic:spPr>
                </pic:pic>
              </a:graphicData>
            </a:graphic>
          </wp:inline>
        </w:drawing>
      </w: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w:t>
      </w:r>
      <w:r>
        <w:t xml:space="preserve"> </w:t>
      </w:r>
      <w:hyperlink r:id="rId47">
        <w:r>
          <w:rPr>
            <w:rStyle w:val="Hyperlink"/>
          </w:rPr>
          <w:t xml:space="preserve">Odyssey Capacitance water level logger</w:t>
        </w:r>
      </w:hyperlink>
      <w:r>
        <w:t xml:space="preserve">; and on either side of the central stilling well was a slotted offset angle bar onto which hose clamps held sample bottles fit with custom siphon lids. By combining the height at which each siphon bottle filled with observed stage from the stilling-well tape and Logger data, the date and time for each rising-stage sample collection was determined.</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6"/>
      </w:pPr>
      <w:bookmarkStart w:id="48" w:name="X9615c63c5149846fb419ac5f49bb338728a17ea"/>
      <w:r>
        <w:t xml:space="preserve">2.1.3.1.1 Vertical rack sampling QA/QC: Siphon sampler assumptions</w:t>
      </w:r>
      <w:bookmarkEnd w:id="48"/>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pPr>
        <w:pStyle w:val="Heading6"/>
      </w:pPr>
      <w:bookmarkStart w:id="49" w:name="Xe230304f074c828928113cae8bc8ee260bba4ea"/>
      <w:r>
        <w:t xml:space="preserve">2.1.3.1.2 Vertical rack sampling QA/QC: Sample hold-times and temperatures</w:t>
      </w:r>
      <w:bookmarkEnd w:id="49"/>
    </w:p>
    <w:p>
      <w:pPr>
        <w:pStyle w:val="FirstParagraph"/>
      </w:pPr>
      <w:r>
        <w:t xml:space="preserve">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pPr>
        <w:pStyle w:val="BodyText"/>
      </w:pPr>
      <w:r>
        <w:t xml:space="preserve">To assess sample stability hold-time experiments were performed. The hold-time experiments included replicate (n = 10) sample collection at a site, where half the samples were placed out of water on the vertical rack with siphon lids and the other half were returned to the lab for immediate analysis. Four hold-time experiments were completed such that the rack samples were left in the field for one, two, three, and four weeks before being retrieved and analyzed for comparison to their counterpart replicates.</w:t>
      </w:r>
    </w:p>
    <w:p>
      <w:pPr>
        <w:pStyle w:val="Heading6"/>
      </w:pPr>
      <w:bookmarkStart w:id="50" w:name="X4e3eb70344da6a931ae15671e47b67ae69cdd36"/>
      <w:r>
        <w:t xml:space="preserve">2.1.3.1.3 Prototype for falling limb passive sampling</w:t>
      </w:r>
      <w:bookmarkEnd w:id="50"/>
    </w:p>
    <w:p>
      <w:pPr>
        <w:pStyle w:val="FirstParagraph"/>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3"/>
      </w:pPr>
      <w:bookmarkStart w:id="51" w:name="Xff9c1916dd8d278b07e9d95ebf125bc565f5754"/>
      <w:r>
        <w:t xml:space="preserve">2.1.4 forWater Coordinated Treatability Analyses Sites</w:t>
      </w:r>
      <w:bookmarkEnd w:id="51"/>
    </w:p>
    <w:p>
      <w:pPr>
        <w:pStyle w:val="FirstParagraph"/>
      </w:pPr>
      <w:r>
        <w:t xml:space="preserve">Four of the synoptic sampling sites were selected to collect source water treatability data in collaboration with researchers in the forWater Network. The sites were:</w:t>
      </w:r>
    </w:p>
    <w:p>
      <w:pPr>
        <w:pStyle w:val="SourceCode"/>
      </w:pPr>
      <w:r>
        <w:rPr>
          <w:rStyle w:val="VerbatimChar"/>
        </w:rPr>
        <w:t xml:space="preserve">1. the Leech River at the future point of diversion,    </w:t>
      </w:r>
      <w:r>
        <w:br/>
      </w:r>
      <w:r>
        <w:rPr>
          <w:rStyle w:val="VerbatimChar"/>
        </w:rPr>
        <w:t xml:space="preserve">2. Deception Reservoir</w:t>
      </w:r>
      <w:r>
        <w:br/>
      </w:r>
      <w:r>
        <w:rPr>
          <w:rStyle w:val="VerbatimChar"/>
        </w:rPr>
        <w:t xml:space="preserve">3. Rithet Creek (2nd largest tributary to Sooke Reservoir) </w:t>
      </w:r>
      <w:r>
        <w:br/>
      </w:r>
      <w:r>
        <w:rPr>
          <w:rStyle w:val="VerbatimChar"/>
        </w:rPr>
        <w:t xml:space="preserve">4. Judge Creek (largest tributary to Sooke Reservoir)</w:t>
      </w:r>
    </w:p>
    <w:p>
      <w:pPr>
        <w:pStyle w:val="FirstParagraph"/>
      </w:pPr>
      <w:r>
        <w:t xml:space="preserve">These sites were selected to represent the future supplemental source water, the terminus or future balancing reservoir between Leech and Sooke water supply areas, and the current tributary source waters in the Sooke WSA (respectively).</w:t>
      </w:r>
    </w:p>
    <w:p>
      <w:pPr>
        <w:pStyle w:val="BodyText"/>
      </w:pPr>
      <w:r>
        <w:t xml:space="preserve">Replicate samples were collected November 12, 2019 and January 18, 2020 and were shipped to the Universities of Alberta and Waterloo for treatability analyses.</w:t>
      </w:r>
      <w:r>
        <w:t xml:space="preserve"> </w:t>
      </w:r>
      <w:r>
        <w:t xml:space="preserve">At the University of Waterloo, samples were analyzed for treatability parameters including: maximum potential disinfection byproduct formation potential (for trihalomethanes and haloacetic acids, (μg/L)), pH, UV</w:t>
      </w:r>
      <w:r>
        <w:rPr>
          <w:vertAlign w:val="subscript"/>
        </w:rPr>
        <w:t xml:space="preserve">254</w:t>
      </w:r>
      <w:r>
        <w:t xml:space="preserve">(cm</w:t>
      </w:r>
      <w:r>
        <w:rPr>
          <w:vertAlign w:val="superscript"/>
        </w:rPr>
        <w:t xml:space="preserve">-1</w:t>
      </w:r>
      <w:r>
        <w:t xml:space="preserve">),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2"/>
      </w:pPr>
      <w:bookmarkStart w:id="52" w:name="analytical-techniques-data"/>
      <w:r>
        <w:t xml:space="preserve">2.2 Analytical techniques &amp; data</w:t>
      </w:r>
      <w:bookmarkEnd w:id="52"/>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pPr>
        <w:pStyle w:val="Heading3"/>
      </w:pPr>
      <w:bookmarkStart w:id="53" w:name="Xb630206f94eb7a6759972938c273ff8eaba2c81"/>
      <w:r>
        <w:t xml:space="preserve">2.2.1 Quantifying dissolved organic carbon (DOC, as NPOC)</w:t>
      </w:r>
      <w:bookmarkEnd w:id="53"/>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Heading3"/>
      </w:pPr>
      <w:bookmarkStart w:id="54" w:name="Xea9a419b4818086e32a635ac9fa4c094692859d"/>
      <w:r>
        <w:t xml:space="preserve">2.2.2 Qualifying organic matter through spectrophotometry</w:t>
      </w:r>
      <w:bookmarkEnd w:id="54"/>
    </w:p>
    <w:p>
      <w:pPr>
        <w:pStyle w:val="Heading4"/>
      </w:pPr>
      <w:bookmarkStart w:id="55" w:name="proxy-doc"/>
      <w:r>
        <w:t xml:space="preserve">2.2.2.1 Proxy DOC</w:t>
      </w:r>
      <w:bookmarkEnd w:id="55"/>
    </w:p>
    <w:p>
      <w:pPr>
        <w:pStyle w:val="FirstParagraph"/>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4"/>
      </w:pPr>
      <w:bookmarkStart w:id="56" w:name="quality-control-note"/>
      <w:r>
        <w:t xml:space="preserve">2.2.2.1.1 Quality control note</w:t>
      </w:r>
      <w:bookmarkEnd w:id="56"/>
    </w:p>
    <w:p>
      <w:pPr>
        <w:pStyle w:val="FirstParagraph"/>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pPr>
        <w:pStyle w:val="Heading4"/>
      </w:pPr>
      <w:bookmarkStart w:id="57" w:name="suva254"/>
      <w:r>
        <w:t xml:space="preserve">2.2.2.2 SUVA</w:t>
      </w:r>
      <w:r>
        <w:rPr>
          <w:vertAlign w:val="subscript"/>
        </w:rPr>
        <w:t xml:space="preserve">254</w:t>
      </w:r>
      <w:bookmarkEnd w:id="57"/>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4"/>
      </w:pPr>
      <w:bookmarkStart w:id="58" w:name="spectral-indices-of-nom-character"/>
      <w:r>
        <w:t xml:space="preserve">2.2.2.3 spectral indices of NOM character</w:t>
      </w:r>
      <w:bookmarkEnd w:id="58"/>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w:t>
      </w:r>
      <w:r>
        <w:rPr>
          <w:b/>
        </w:rPr>
        <w:t xml:space="preserve">???</w:t>
      </w:r>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3"/>
      </w:pPr>
      <w:bookmarkStart w:id="59" w:name="Xcc08ec80943ac2e4b045ef0d627856fbbc0f249"/>
      <w:r>
        <w:t xml:space="preserve">2.2.3 Sampling for Metals &amp; CRD Analytical Results</w:t>
      </w:r>
      <w:bookmarkEnd w:id="5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pPr>
        <w:pStyle w:val="Heading1"/>
      </w:pPr>
      <w:bookmarkStart w:id="60" w:name="data-results-visualization-summaries"/>
      <w:r>
        <w:t xml:space="preserve">Data &amp; Results (visualization &amp; summaries)</w:t>
      </w:r>
      <w:bookmarkEnd w:id="60"/>
    </w:p>
    <w:p>
      <w:pPr>
        <w:pStyle w:val="Heading2"/>
      </w:pPr>
      <w:bookmarkStart w:id="61" w:name="sample-counts-and-data-table-summaries"/>
      <w:r>
        <w:t xml:space="preserve">Sample Counts and data table summaries</w:t>
      </w:r>
      <w:bookmarkEnd w:id="61"/>
    </w:p>
    <w:p>
      <w:pPr>
        <w:pStyle w:val="FirstParagraph"/>
      </w:pPr>
      <w:r>
        <w:t xml:space="preserve">In total 400 samples were collected (@ref(tab:sample summary table))</w:t>
      </w:r>
    </w:p>
    <w:p>
      <w:pPr>
        <w:pStyle w:val="Heading2"/>
      </w:pPr>
      <w:bookmarkStart w:id="62" w:name="leech-doc-concentrations"/>
      <w:r>
        <w:t xml:space="preserve">Leech DOC concentrations</w:t>
      </w:r>
      <w:bookmarkEnd w:id="62"/>
    </w:p>
    <w:p>
      <w:pPr>
        <w:pStyle w:val="FirstParagraph"/>
      </w:pPr>
      <w:r>
        <w:t xml:space="preserve">Table 1 and Figure 1 show DOC concentrations were highest at Weeks Creek, the headwaters monitoring point for a sub-basin which included Weeks Lake and surrounding wetlands. On average, Chris Creek DOC concentration was 51% lower than Weeks creek. Below the confluence of Weeks and Chris Creek, the head of Leech River had a mean DOC concentration slightly less than the average of the two headwater tributaries. West Leech River had higher DOC than Cragg Creek by about 20%. Below the confluences of West Leech and Cragg Creek, the Leech Tunnel site had DOC concentrations that were 54% lower than the average at the Leech head, and closer to those of Cragg Creek.</w:t>
      </w:r>
    </w:p>
    <w:p>
      <w:pPr>
        <w:pStyle w:val="Heading1"/>
      </w:pPr>
      <w:bookmarkStart w:id="63" w:name="plot-doc-concs-across-the-watershed"/>
      <w:r>
        <w:t xml:space="preserve">Plot DOC concs across the watershed</w:t>
      </w:r>
      <w:bookmarkEnd w:id="63"/>
    </w:p>
    <w:p>
      <w:pPr>
        <w:pStyle w:val="Heading2"/>
      </w:pPr>
      <w:bookmarkStart w:id="64" w:name="doc-and-metals-in-solution"/>
      <w:r>
        <w:t xml:space="preserve">DOC and metals in solution</w:t>
      </w:r>
      <w:bookmarkEnd w:id="64"/>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(formerly Maxxam Analytics Inc.). For each metals sample collected, a parallel Grab sample was analyzed for DOC. There was a suite of metals included in the analyses, many of which were below detection limits; Figure XXXXX shows DOC concentrations from samples which had detectable concentrations of eight metal species.</w:t>
      </w:r>
    </w:p>
    <w:p>
      <w:pPr>
        <w:pStyle w:val="BodyText"/>
      </w:pPr>
      <w:r>
        <w:t xml:space="preserve">DOC concentration had a strong positive relationship with total mercury (R</w:t>
      </w:r>
      <w:r>
        <w:rPr>
          <w:vertAlign w:val="superscript"/>
        </w:rPr>
        <w:t xml:space="preserve">2</w:t>
      </w:r>
      <w:r>
        <w:t xml:space="preserve">=0.9998, n=3) aluminum (R</w:t>
      </w:r>
      <w:r>
        <w:rPr>
          <w:vertAlign w:val="superscript"/>
        </w:rPr>
        <w:t xml:space="preserve">2</w:t>
      </w:r>
      <w:r>
        <w:t xml:space="preserve">=0.81, n=36), and iron (R</w:t>
      </w:r>
      <w:r>
        <w:rPr>
          <w:vertAlign w:val="superscript"/>
        </w:rPr>
        <w:t xml:space="preserve">2</w:t>
      </w:r>
      <w:r>
        <w:t xml:space="preserve">=0.72, n=36). While the relationships were not as strong, DOC was also positively related to concentrations of copper (R</w:t>
      </w:r>
      <w:r>
        <w:rPr>
          <w:vertAlign w:val="superscript"/>
        </w:rPr>
        <w:t xml:space="preserve">2</w:t>
      </w:r>
      <w:r>
        <w:t xml:space="preserve">=0.47, n=27), barium (R</w:t>
      </w:r>
      <w:r>
        <w:rPr>
          <w:vertAlign w:val="superscript"/>
        </w:rPr>
        <w:t xml:space="preserve">2</w:t>
      </w:r>
      <w:r>
        <w:t xml:space="preserve">=0.25, n=30), and manganese (R</w:t>
      </w:r>
      <w:r>
        <w:rPr>
          <w:vertAlign w:val="superscript"/>
        </w:rPr>
        <w:t xml:space="preserve">2</w:t>
      </w:r>
      <w:r>
        <w:t xml:space="preserve">=0.21, n=12). Not included in FIGUREYYYYYY is the weak inverse relationship between DOC and silicon (R</w:t>
      </w:r>
      <w:r>
        <w:rPr>
          <w:vertAlign w:val="superscript"/>
        </w:rPr>
        <w:t xml:space="preserve">2</w:t>
      </w:r>
      <w:r>
        <w:t xml:space="preserve">=0.061, n=29) and magnesium (R</w:t>
      </w:r>
      <w:r>
        <w:rPr>
          <w:vertAlign w:val="superscript"/>
        </w:rPr>
        <w:t xml:space="preserve">2</w:t>
      </w:r>
      <w:r>
        <w:t xml:space="preserve">=0.015, n=30). All metals concentrations were below maximum allowable concentrations and aesthetic objectives for source water guidelines</w:t>
      </w:r>
      <w:r>
        <w:t xml:space="preserve"> </w:t>
      </w:r>
      <w:r>
        <w:t xml:space="preserve">(</w:t>
      </w:r>
      <w:r>
        <w:rPr>
          <w:b/>
        </w:rPr>
        <w:t xml:space="preserve">???</w:t>
      </w:r>
      <w:r>
        <w:t xml:space="preserve">)</w:t>
      </w:r>
      <w:r>
        <w:t xml:space="preserve">.</w:t>
      </w:r>
    </w:p>
    <w:p>
      <w:pPr>
        <w:pStyle w:val="BodyText"/>
      </w:pPr>
      <w:r>
        <w:t xml:space="preserve">At the six sub-basin monitoring sites, vertical racks were installed to collect samples as the rivers rose in response to precipitation events.</w:t>
      </w:r>
    </w:p>
    <w:p>
      <w:pPr>
        <w:pStyle w:val="BodyText"/>
      </w:pPr>
      <w:r>
        <w:t xml:space="preserve">These vertical racks collected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As the vertical racks require a hydrologic response to collect samples, they are only applicable during the wet season. Comparing wet season Grab samples to those collected on Racks confirms that the rack samplers were able to capture more samples, and many during periods with higher DOC concentrations (Fig.2).</w:t>
      </w:r>
    </w:p>
    <w:p>
      <w:pPr>
        <w:pStyle w:val="Heading2"/>
      </w:pPr>
      <w:bookmarkStart w:id="65" w:name="sampling-campaign"/>
      <w:r>
        <w:t xml:space="preserve">Sampling campaign</w:t>
      </w:r>
      <w:bookmarkEnd w:id="65"/>
    </w:p>
    <w:p>
      <w:pPr>
        <w:pStyle w:val="FirstParagraph"/>
      </w:pPr>
      <w:r>
        <w:t xml:space="preserve">Four hundred water sample were collected and analyzed for DOC over a 16 month study period (October 2018 to February 2020). The synoptic grab-sampling program was enhanced by the collection of stormflow on the six vertical sampling racks. In total, 171 samples were collected on vertical Racks, 215 Grab samples were collected at 15 synoptically sampled sites (which included the six installation sites), and an additional 14 Grab samples were collected opportunistically at one-off sites across the water supply area. Figure 3 shows DOC concentrations across the 15 synoptically sampled sites over the study period (n=386).</w:t>
      </w:r>
    </w:p>
    <w:p>
      <w:pPr>
        <w:pStyle w:val="BodyText"/>
      </w:pPr>
      <w:r>
        <w:t xml:space="preserve">Over the study period, DOC concentrations decreased throughout the wet season, and increased again during the dry summer months (Fig.3). This seasonal DOC concentration pattern was clear at each of the six installation locations in the LWSA (Fig.4).</w:t>
      </w:r>
    </w:p>
    <w:p>
      <w:pPr>
        <w:pStyle w:val="Heading2"/>
      </w:pPr>
      <w:bookmarkStart w:id="66" w:name="seasonal-examination-of-doc-dom-dynamics"/>
      <w:r>
        <w:t xml:space="preserve">Seasonal examination of DOC &amp; DOM dynamics</w:t>
      </w:r>
      <w:bookmarkEnd w:id="66"/>
    </w:p>
    <w:p>
      <w:pPr>
        <w:pStyle w:val="FirstParagraph"/>
      </w:pPr>
      <w:r>
        <w:t xml:space="preserve">In this section, a categorical season ID was used to assess temporal variations in DOC. Seasons were separated based on months of the year: the wet season was October through May, and the dry season was June until October.</w:t>
      </w:r>
    </w:p>
    <w:p>
      <w:pPr>
        <w:pStyle w:val="Compact"/>
        <w:numPr>
          <w:numId w:val="1001"/>
          <w:ilvl w:val="0"/>
        </w:numPr>
      </w:pPr>
      <w:r>
        <w:t xml:space="preserve">Precipitation data will be employed to operationally separate season (data obtained January 31, 2020 from CRD).</w:t>
      </w:r>
    </w:p>
    <w:p>
      <w:pPr>
        <w:pStyle w:val="FirstParagraph"/>
      </w:pPr>
      <w:r>
        <w:t xml:space="preserve">These seasonal plots show data from both Rack and Grab samples in order to include the full available range of concentrations.</w:t>
      </w:r>
    </w:p>
    <w:p>
      <w:pPr>
        <w:pStyle w:val="BodyText"/>
      </w:pPr>
      <w:r>
        <w:t xml:space="preserve">In the wet season, DOC concentrations generally increased during stormflow (relative to between-storm peaks)</w:t>
      </w:r>
      <w:r>
        <w:t xml:space="preserve"> </w:t>
      </w:r>
      <w:r>
        <w:rPr>
          <w:i/>
        </w:rPr>
        <w:t xml:space="preserve">{data not shown yet}</w:t>
      </w:r>
      <w:r>
        <w:t xml:space="preserve">, and progressively dropped over the course of the wet season. During dry season baseflow, DOC concentration was elevated compared to late wet season DOC (Fig.5).</w:t>
      </w:r>
    </w:p>
    <w:p>
      <w:pPr>
        <w:pStyle w:val="BodyText"/>
      </w:pPr>
      <w:r>
        <w:t xml:space="preserve">At each of the six sub-basin monitoring locations, mean DOC was higher during the dry season than during the wet season (Table 2, Fig.8). There was less variation in dry season DOC concentrations at each site also (Table 2), which could be due to actual reduction in variance in the absence of stormflow pulses and also due to fewer dry season samples (n = 46) compared to wet season samples (n = 278).</w:t>
      </w:r>
    </w:p>
    <w:p>
      <w:pPr>
        <w:pStyle w:val="BodyText"/>
      </w:pPr>
      <w:r>
        <w:t xml:space="preserve">To remove the variance of stormflow DOC concentrations, Table 2-B and Figure 9 shows seasonal concentrations based only on Grab samples (excludes 166 stormflow samples collected by Racks).</w:t>
      </w:r>
    </w:p>
    <w:p>
      <w:pPr>
        <w:pStyle w:val="Heading2"/>
      </w:pPr>
      <w:bookmarkStart w:id="67" w:name="spectral-indices"/>
      <w:r>
        <w:t xml:space="preserve">Spectral Indices</w:t>
      </w:r>
      <w:bookmarkEnd w:id="67"/>
    </w:p>
    <w:p>
      <w:pPr>
        <w:pStyle w:val="Heading3"/>
      </w:pPr>
      <w:bookmarkStart w:id="68" w:name="plots-of-doc-proxy"/>
      <w:r>
        <w:t xml:space="preserve">Plots of DOC &amp; proxy</w:t>
      </w:r>
      <w:bookmarkEnd w:id="68"/>
    </w:p>
    <w:p>
      <w:pPr>
        <w:pStyle w:val="FirstParagraph"/>
      </w:pPr>
      <w:r>
        <w:t xml:space="preserve">DOC was quantified as non-purgeable organic carbon (NPOC) on the Shimadzu TOC auto analyzer, and samples were also measured on a Spectrolyser spectrophotometer. A spectrophotometer can only measure the fraction of organic matter that is able to absorb UV or Visible light, and therefore DOC measured on the Spectrolyser was a measure of CDOM and an indicator of aromaticity (molecular character).</w:t>
      </w:r>
    </w:p>
    <w:p>
      <w:pPr>
        <w:pStyle w:val="BodyText"/>
      </w:pPr>
      <w:r>
        <w:t xml:space="preserve">Figure 6 shows results from all samples comparing DOC concentrations (as NPOC, direct measure) to CDOM concentrations (UV-Vis, proxy measure of DOC). There was a strong seasonal separation of the relationship between these two measurements. These results indicate a seasonally-driven physiochemical difference in the aquatic NOM in this drinking water supply area.</w:t>
      </w:r>
    </w:p>
    <w:p>
      <w:pPr>
        <w:pStyle w:val="BodyText"/>
      </w:pPr>
      <w:r>
        <w:t xml:space="preserve">Figure 7 shows the same DOC-CDOM comparison from Figure 6, isolated to the six sub-basin monitoring sites. The seasonal relationship appears similar for the six sites.</w:t>
      </w:r>
    </w:p>
    <w:p>
      <w:pPr>
        <w:pStyle w:val="BodyText"/>
      </w:pPr>
      <w:r>
        <w:t xml:space="preserve">In progress: analysis of spectral fingerprint data for slope ratio indices, which will help to elucidate seasonal DOM character shifts.</w:t>
      </w:r>
    </w:p>
    <w:p>
      <w:pPr>
        <w:pStyle w:val="Heading1"/>
      </w:pPr>
      <w:bookmarkStart w:id="69" w:name="discussion"/>
      <w:r>
        <w:t xml:space="preserve">Discussion</w:t>
      </w:r>
      <w:bookmarkEnd w:id="69"/>
    </w:p>
    <w:p>
      <w:pPr>
        <w:pStyle w:val="FirstParagraph"/>
      </w:pPr>
      <w:r>
        <w:t xml:space="preserve">Here is a research chapter. Look a graph in Figure</w:t>
      </w:r>
      <w:r>
        <w:t xml:space="preserve"> </w:t>
      </w:r>
      <w:r>
        <w:t xml:space="preserve">??</w:t>
      </w:r>
      <w:r>
        <w:t xml:space="preserve">.</w:t>
      </w:r>
    </w:p>
    <w:p>
      <w:pPr>
        <w:pStyle w:val="BodyText"/>
      </w:pPr>
      <w:r>
        <w:t xml:space="preserve">Also check out the associated data in Table</w:t>
      </w:r>
      <w:r>
        <w:t xml:space="preserve"> </w:t>
      </w:r>
      <w:r>
        <w:t xml:space="preserve">??</w:t>
      </w:r>
      <w:r>
        <w:t xml:space="preserve">.</w:t>
      </w:r>
    </w:p>
    <w:p>
      <w:pPr>
        <w:pStyle w:val="Heading1"/>
      </w:pPr>
      <w:bookmarkStart w:id="70" w:name="conclusions"/>
      <w:r>
        <w:t xml:space="preserve">Conclusions</w:t>
      </w:r>
      <w:bookmarkEnd w:id="70"/>
    </w:p>
    <w:p>
      <w:pPr>
        <w:pStyle w:val="FirstParagraph"/>
      </w:pPr>
      <w:r>
        <w:t xml:space="preserve">I did several things and will now discuss why they are good.</w:t>
      </w:r>
    </w:p>
    <w:p>
      <w:pPr>
        <w:pStyle w:val="Heading1"/>
      </w:pPr>
      <w:bookmarkStart w:id="71" w:name="references"/>
      <w:r>
        <w:t xml:space="preserve">References</w:t>
      </w:r>
      <w:bookmarkEnd w:id="71"/>
    </w:p>
    <w:p>
      <w:pPr>
        <w:pStyle w:val="Heading1"/>
      </w:pPr>
      <w:bookmarkStart w:id="72" w:name="appendix-a"/>
      <w:r>
        <w:t xml:space="preserve">Appendix A</w:t>
      </w:r>
      <w:bookmarkEnd w:id="72"/>
    </w:p>
    <w:p>
      <w:pPr>
        <w:pStyle w:val="Heading2"/>
      </w:pPr>
      <w:bookmarkStart w:id="73" w:name="X354d90a37f09cb15ddc26096af31051f31c174e"/>
      <w:r>
        <w:t xml:space="preserve">A-1 Greater Victoria Regional Water Supply System</w:t>
      </w:r>
      <w:bookmarkEnd w:id="73"/>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lockText"/>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w:t>
      </w:r>
      <w:r>
        <w:t xml:space="preserve"> </w:t>
      </w:r>
      <w:r>
        <w:t xml:space="preserve">~</w:t>
      </w:r>
      <w:r>
        <w:t xml:space="preserve">(CRD</w:t>
      </w:r>
      <w:r>
        <w:t xml:space="preserve"> </w:t>
      </w:r>
      <w:hyperlink w:anchor="ref-CapitalRegionDistrict2017">
        <w:r>
          <w:rPr>
            <w:rStyle w:val="Hyperlink"/>
          </w:rPr>
          <w:t xml:space="preserve">2017</w:t>
        </w:r>
      </w:hyperlink>
      <w:r>
        <w:t xml:space="preserve">)</w:t>
      </w:r>
    </w:p>
    <w:p>
      <w:pPr>
        <w:pStyle w:val="Heading2"/>
      </w:pPr>
      <w:bookmarkStart w:id="74" w:name="a-2-leech-river-watershed-site-details"/>
      <w:r>
        <w:t xml:space="preserve">A-2 Leech River Watershed Site Details</w:t>
      </w:r>
      <w:bookmarkEnd w:id="74"/>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3"/>
      </w:pPr>
      <w:bookmarkStart w:id="75" w:name="a-2.1-sub-basin-sites"/>
      <w:r>
        <w:t xml:space="preserve">A-2.1 Sub-basin Sites</w:t>
      </w:r>
      <w:bookmarkEnd w:id="75"/>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Heading4"/>
      </w:pPr>
      <w:bookmarkStart w:id="76" w:name="a-2.1.1-weeks-outlet"/>
      <w:r>
        <w:t xml:space="preserve">A-2.1.1 Weeks Outlet</w:t>
      </w:r>
      <w:bookmarkEnd w:id="76"/>
    </w:p>
    <w:p>
      <w:pPr>
        <w:pStyle w:val="FirstParagraph"/>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SourceCode"/>
      </w:pPr>
      <w:r>
        <w:rPr>
          <w:rStyle w:val="VerbatimChar"/>
        </w:rPr>
        <w:t xml:space="preserve">![](R-inputs_UBC-forWater-MSc_HMc/images/XXXXX.jpg){width=50%} ![](R-inputs_UBC-forWater-MSc_HMc/images/YYYY.jpg){width=50%}</w:t>
      </w:r>
    </w:p>
    <w:p>
      <w:pPr>
        <w:pStyle w:val="Heading4"/>
      </w:pPr>
      <w:bookmarkStart w:id="77" w:name="a-2.1.1.2-chris-creek"/>
      <w:r>
        <w:t xml:space="preserve">A-2.1.1.2 Chris Creek</w:t>
      </w:r>
      <w:bookmarkEnd w:id="77"/>
    </w:p>
    <w:p>
      <w:pPr>
        <w:pStyle w:val="FirstParagraph"/>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SourceCode"/>
      </w:pPr>
      <w:r>
        <w:rPr>
          <w:rStyle w:val="VerbatimChar"/>
        </w:rPr>
        <w:t xml:space="preserve">![](R-inputs_UBC-forWater-MSc_HMc/images/XXXXX.jpg){width=50%} ![](R-inputs_UBC-forWater-MSc_HMc/images/YYYY.jpg){width=50%}</w:t>
      </w:r>
    </w:p>
    <w:p>
      <w:pPr>
        <w:pStyle w:val="Heading4"/>
      </w:pPr>
      <w:bookmarkStart w:id="78" w:name="a-2.1.1.3-leech-head"/>
      <w:r>
        <w:t xml:space="preserve">A-2.1.1.3 Leech Head</w:t>
      </w:r>
      <w:bookmarkEnd w:id="78"/>
    </w:p>
    <w:p>
      <w:pPr>
        <w:pStyle w:val="FirstParagraph"/>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drawing>
          <wp:inline>
            <wp:extent cx="5943600" cy="2971800"/>
            <wp:effectExtent b="0" l="0" r="0" t="0"/>
            <wp:docPr descr="" title="" id="1" name="Picture"/>
            <a:graphic>
              <a:graphicData uri="http://schemas.openxmlformats.org/drawingml/2006/picture">
                <pic:pic>
                  <pic:nvPicPr>
                    <pic:cNvPr descr="R-inputs_UBC-forWater-MSc_HMc/images/LeechHead_lowflow_201908.jpg" id="0"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Heading4"/>
      </w:pPr>
      <w:bookmarkStart w:id="80" w:name="a-2.1.1.4-cragg-creek"/>
      <w:r>
        <w:t xml:space="preserve">A-2.1.1.4 Cragg Creek</w:t>
      </w:r>
      <w:bookmarkEnd w:id="80"/>
    </w:p>
    <w:p>
      <w:pPr>
        <w:pStyle w:val="FirstParagraph"/>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CaptionedFigure"/>
      </w:pPr>
      <w:r>
        <w:drawing>
          <wp:inline>
            <wp:extent cx="5943600" cy="4457700"/>
            <wp:effectExtent b="0" l="0" r="0" t="0"/>
            <wp:docPr descr="Cragg Creek downstream(left) and upstream (right) of bridge" title="" id="1" name="Picture"/>
            <a:graphic>
              <a:graphicData uri="http://schemas.openxmlformats.org/drawingml/2006/picture">
                <pic:pic>
                  <pic:nvPicPr>
                    <pic:cNvPr descr="R-inputs_UBC-forWater-MSc_HMc/images/Cragg_downstream_20190410.jpg" id="0" name="Picture"/>
                    <pic:cNvPicPr>
                      <a:picLocks noChangeArrowheads="1" noChangeAspect="1"/>
                    </pic:cNvPicPr>
                  </pic:nvPicPr>
                  <pic:blipFill>
                    <a:blip r:embed="rId8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Cragg Creek downstream(left) and upstream (right) of bridge</w:t>
      </w:r>
    </w:p>
    <w:p>
      <w:pPr>
        <w:pStyle w:val="BodyText"/>
      </w:pPr>
      <w:r>
        <w:drawing>
          <wp:inline>
            <wp:extent cx="5943600" cy="4457700"/>
            <wp:effectExtent b="0" l="0" r="0" t="0"/>
            <wp:docPr descr="" title="" id="1" name="Picture"/>
            <a:graphic>
              <a:graphicData uri="http://schemas.openxmlformats.org/drawingml/2006/picture">
                <pic:pic>
                  <pic:nvPicPr>
                    <pic:cNvPr descr="R-inputs_UBC-forWater-MSc_HMc/images/Cragg_upstream_20190410.jpg" id="0" name="Picture"/>
                    <pic:cNvPicPr>
                      <a:picLocks noChangeArrowheads="1" noChangeAspect="1"/>
                    </pic:cNvPicPr>
                  </pic:nvPicPr>
                  <pic:blipFill>
                    <a:blip r:embed="rId82"/>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4"/>
      </w:pPr>
      <w:bookmarkStart w:id="83" w:name="a-2.1.1.5-west-leech"/>
      <w:r>
        <w:t xml:space="preserve">A-2.1.1.5 West Leech</w:t>
      </w:r>
      <w:bookmarkEnd w:id="83"/>
    </w:p>
    <w:p>
      <w:pPr>
        <w:pStyle w:val="FirstParagraph"/>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CaptionedFigure"/>
      </w:pPr>
      <w:r>
        <w:drawing>
          <wp:inline>
            <wp:extent cx="5943600" cy="2971800"/>
            <wp:effectExtent b="0" l="0" r="0" t="0"/>
            <wp:docPr descr="West Leech lowflow (left)" title="" id="1" name="Picture"/>
            <a:graphic>
              <a:graphicData uri="http://schemas.openxmlformats.org/drawingml/2006/picture">
                <pic:pic>
                  <pic:nvPicPr>
                    <pic:cNvPr descr="R-inputs_UBC-forWater-MSc_HMc/images/WestLeech_lowflow_20190823_091048.jpg" id="0" name="Picture"/>
                    <pic:cNvPicPr>
                      <a:picLocks noChangeArrowheads="1" noChangeAspect="1"/>
                    </pic:cNvPicPr>
                  </pic:nvPicPr>
                  <pic:blipFill>
                    <a:blip r:embed="rId8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West Leech lowflow (left)</w:t>
      </w:r>
    </w:p>
    <w:p>
      <w:pPr>
        <w:pStyle w:val="CaptionedFigure"/>
      </w:pPr>
      <w:r>
        <w:drawing>
          <wp:inline>
            <wp:extent cx="3810000" cy="2540000"/>
            <wp:effectExtent b="0" l="0" r="0" t="0"/>
            <wp:docPr descr="West Leech high flow (right)" title="" id="1" name="Picture"/>
            <a:graphic>
              <a:graphicData uri="http://schemas.openxmlformats.org/drawingml/2006/picture">
                <pic:pic>
                  <pic:nvPicPr>
                    <pic:cNvPr descr="R-inputs_UBC-forWater-MSc_HMc/images/WestLeech_highflow_IMG_0569-01.jpeg" id="0" name="Picture"/>
                    <pic:cNvPicPr>
                      <a:picLocks noChangeArrowheads="1" noChangeAspect="1"/>
                    </pic:cNvPicPr>
                  </pic:nvPicPr>
                  <pic:blipFill>
                    <a:blip r:embed="rId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West Leech high flow (right)</w:t>
      </w:r>
    </w:p>
    <w:p>
      <w:pPr>
        <w:pStyle w:val="Heading4"/>
      </w:pPr>
      <w:bookmarkStart w:id="86" w:name="a-2.1.1.6-leech-tunnel"/>
      <w:r>
        <w:t xml:space="preserve">A-2.1.1.6 Leech Tunnel</w:t>
      </w:r>
      <w:bookmarkEnd w:id="86"/>
    </w:p>
    <w:p>
      <w:pPr>
        <w:pStyle w:val="FirstParagraph"/>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streambed here is dominated by Schist bedrock and boulders. The bedrock in the center of the channel is deeply incised, but overall the river is wider than is is deep. The Tunnel site is approximately 1km downstream of the West Leech confluence.</w:t>
      </w:r>
    </w:p>
    <w:p>
      <w:pPr>
        <w:pStyle w:val="SourceCode"/>
      </w:pPr>
      <w:r>
        <w:rPr>
          <w:rStyle w:val="VerbatimChar"/>
        </w:rPr>
        <w:t xml:space="preserve"> ![](R-inputs_UBC-forWater-MSc_HMc/images/XXXXXXX.jpg){width=25%, style="float:left; padding:10px"}</w:t>
      </w:r>
    </w:p>
    <w:p>
      <w:pPr>
        <w:pStyle w:val="Heading2"/>
      </w:pPr>
      <w:bookmarkStart w:id="87" w:name="a-3-methods-extended"/>
      <w:r>
        <w:t xml:space="preserve">A-3 Methods (extended)</w:t>
      </w:r>
      <w:bookmarkEnd w:id="87"/>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Heading3"/>
      </w:pPr>
      <w:bookmarkStart w:id="88" w:name="Xd84a40156c095e6b90e5f2dd1b7709f3cf209b3"/>
      <w:r>
        <w:t xml:space="preserve">A-3.1 Vertical racks: passive water sampling on the rising limb of hydrograph</w:t>
      </w:r>
      <w:bookmarkEnd w:id="88"/>
    </w:p>
    <w:p>
      <w:pPr>
        <w:pStyle w:val="FirstParagraph"/>
      </w:pPr>
      <w:r>
        <w:t xml:space="preserve">Each vertical rack included a central stilling well (1.5" PCV pipe (conduit) with 1/2" holes drilled along the length) that had a measuring tape affixed to the front. Inside the stilling well was an</w:t>
      </w:r>
      <w:r>
        <w:t xml:space="preserve"> </w:t>
      </w:r>
      <w:hyperlink r:id="rId47">
        <w:r>
          <w:rPr>
            <w:rStyle w:val="Hyperlink"/>
          </w:rPr>
          <w:t xml:space="preserve">Odyssey Capacitance water level logger</w:t>
        </w:r>
      </w:hyperlink>
      <w:r>
        <w:t xml:space="preserve">.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CaptionedFigure"/>
      </w:pPr>
      <w:r>
        <w:drawing>
          <wp:inline>
            <wp:extent cx="3474720" cy="6648994"/>
            <wp:effectExtent b="0" l="0" r="0" t="0"/>
            <wp:docPr descr="Figure 4: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46"/>
                    <a:stretch>
                      <a:fillRect/>
                    </a:stretch>
                  </pic:blipFill>
                  <pic:spPr bwMode="auto">
                    <a:xfrm>
                      <a:off x="0" y="0"/>
                      <a:ext cx="3474720" cy="6648994"/>
                    </a:xfrm>
                    <a:prstGeom prst="rect">
                      <a:avLst/>
                    </a:prstGeom>
                    <a:noFill/>
                    <a:ln w="9525">
                      <a:noFill/>
                      <a:headEnd/>
                      <a:tailEnd/>
                    </a:ln>
                  </pic:spPr>
                </pic:pic>
              </a:graphicData>
            </a:graphic>
          </wp:inline>
        </w:drawing>
      </w:r>
    </w:p>
    <w:p>
      <w:pPr>
        <w:pStyle w:val="ImageCaption"/>
      </w:pPr>
      <w:r>
        <w:rPr>
          <w:b/>
        </w:rPr>
        <w:t xml:space="preserve">Figure 4</w:t>
      </w:r>
      <w:r>
        <w:t xml:space="preserve">: Rising limb siphon sampler bottle</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sample collection is discrete is addressed in the</w:t>
      </w:r>
      <w:r>
        <w:t xml:space="preserve"> </w:t>
      </w:r>
      <w:r>
        <w:rPr>
          <w:i/>
        </w:rPr>
        <w:t xml:space="preserve">Methods QA/QC</w:t>
      </w:r>
      <w:r>
        <w:t xml:space="preserve"> </w:t>
      </w:r>
      <w:r>
        <w:t xml:space="preserve">section (following).</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Heading4"/>
      </w:pPr>
      <w:bookmarkStart w:id="89" w:name="X0c11dc97f58f1d09e3654817f401e9e07bc1e36"/>
      <w:r>
        <w:t xml:space="preserve">A-3.1.3 Benefits, challenges and assumptions</w:t>
      </w:r>
      <w:bookmarkEnd w:id="89"/>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(discussed in</w:t>
      </w:r>
      <w:r>
        <w:t xml:space="preserve"> </w:t>
      </w:r>
      <w:r>
        <w:rPr>
          <w:i/>
        </w:rPr>
        <w:t xml:space="preserve">Methods QA?QC</w:t>
      </w:r>
      <w:r>
        <w:t xml:space="preserve"> </w:t>
      </w:r>
      <w:r>
        <w:t xml:space="preserve">section below).</w:t>
      </w:r>
    </w:p>
    <w:p>
      <w:pPr>
        <w:pStyle w:val="Heading4"/>
      </w:pPr>
      <w:bookmarkStart w:id="90" w:name="a-3.1.4-field-protocol"/>
      <w:r>
        <w:t xml:space="preserve">A-3.1.4 Field protocol</w:t>
      </w:r>
      <w:bookmarkEnd w:id="90"/>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Heading4"/>
      </w:pPr>
      <w:bookmarkStart w:id="91" w:name="X583ea3cfcaff840bc064bffeede9f0d181e1066"/>
      <w:r>
        <w:t xml:space="preserve">A-3.1.5 Method QA/QC: rising limb sampler quality assurance and quality control</w:t>
      </w:r>
      <w:bookmarkEnd w:id="91"/>
    </w:p>
    <w:p>
      <w:pPr>
        <w:pStyle w:val="FirstParagraph"/>
      </w:pPr>
      <w:r>
        <w:t xml:space="preserve">The methods of passive sampling by vertical racks involve a couple of potential quality control challenges and assumptions. The two key challenges with these methods are the assumption of discrete sample collection, and sample stability during the elapsed time between collection and analysis. These issues were addressed experimentally and are discussed here.</w:t>
      </w:r>
    </w:p>
    <w:p>
      <w:pPr>
        <w:pStyle w:val="Heading4"/>
      </w:pPr>
      <w:bookmarkStart w:id="92" w:name="Xbb2e6e0efd62735ff2c5fe6892028d3ee341642"/>
      <w:r>
        <w:t xml:space="preserve">A-3.2 Development of a modified siphon sampler designed for passive water collection on the falling limb of hydrograph</w:t>
      </w:r>
      <w:bookmarkEnd w:id="92"/>
    </w:p>
    <w:p>
      <w:pPr>
        <w:pStyle w:val="Heading5"/>
      </w:pPr>
      <w:bookmarkStart w:id="93" w:name="a-3.2.1-theory"/>
      <w:r>
        <w:t xml:space="preserve">A-3.2.1 Theory</w:t>
      </w:r>
      <w:bookmarkEnd w:id="93"/>
    </w:p>
    <w:p>
      <w:pPr>
        <w:pStyle w:val="Heading5"/>
      </w:pPr>
      <w:bookmarkStart w:id="94" w:name="a-3.2.2-design"/>
      <w:r>
        <w:t xml:space="preserve">A-3.2.2 Design</w:t>
      </w:r>
      <w:bookmarkEnd w:id="94"/>
    </w:p>
    <w:p>
      <w:pPr>
        <w:pStyle w:val="Heading5"/>
      </w:pPr>
      <w:bookmarkStart w:id="95" w:name="X26a4de71f00d78594fcb23093eb8cc4e6e4c6f7"/>
      <w:r>
        <w:t xml:space="preserve">A-3.2.3 Benefits, challenges and assumptions</w:t>
      </w:r>
      <w:bookmarkEnd w:id="95"/>
    </w:p>
    <w:p>
      <w:pPr>
        <w:pStyle w:val="Heading5"/>
      </w:pPr>
      <w:bookmarkStart w:id="96" w:name="Xc5c2259cdb1ea5ecd669463f1203637baeacc49"/>
      <w:r>
        <w:t xml:space="preserve">A-3.4 Gauging Streamflow (? not yet completed)</w:t>
      </w:r>
      <w:bookmarkEnd w:id="96"/>
    </w:p>
    <w:p>
      <w:pPr>
        <w:pStyle w:val="Heading5"/>
      </w:pPr>
      <w:bookmarkStart w:id="97" w:name="a-3.5-qaqc-laboratory-analysis"/>
      <w:r>
        <w:t xml:space="preserve">A-3.5 QA/QC Laboratory Analysis</w:t>
      </w:r>
      <w:bookmarkEnd w:id="97"/>
    </w:p>
    <w:p>
      <w:pPr>
        <w:pStyle w:val="Heading6"/>
      </w:pPr>
      <w:bookmarkStart w:id="98" w:name="a-3.5.1-instrument-calibration"/>
      <w:r>
        <w:t xml:space="preserve">A-3.5.1 Instrument calibration</w:t>
      </w:r>
      <w:bookmarkEnd w:id="98"/>
    </w:p>
    <w:p>
      <w:pPr>
        <w:pStyle w:val="Heading6"/>
      </w:pPr>
      <w:bookmarkStart w:id="99" w:name="Xa0d95f120b12be0a9c6d92943cdd5df1f07b9de"/>
      <w:r>
        <w:t xml:space="preserve">A-3.5.2 Calibration verification (cal vers)</w:t>
      </w:r>
      <w:bookmarkEnd w:id="99"/>
    </w:p>
    <w:p>
      <w:pPr>
        <w:pStyle w:val="Heading2"/>
      </w:pPr>
      <w:bookmarkStart w:id="100" w:name="Xf7f92eb8ef076991d5668cf420e1b2f7566c74c"/>
      <w:r>
        <w:t xml:space="preserve">A-4 Details: forWater NSERC Strategic Network for forested drinking water source protection technologies</w:t>
      </w:r>
      <w:bookmarkEnd w:id="100"/>
    </w:p>
    <w:p>
      <w:pPr>
        <w:pStyle w:val="CaptionedFigure"/>
      </w:pPr>
      <w:r>
        <w:drawing>
          <wp:inline>
            <wp:extent cx="4334256" cy="4133088"/>
            <wp:effectExtent b="0" l="0" r="0" t="0"/>
            <wp:docPr descr="Figure 2: Masters thesis task flowchart" title="" id="1" name="Picture"/>
            <a:graphic>
              <a:graphicData uri="http://schemas.openxmlformats.org/drawingml/2006/picture">
                <pic:pic>
                  <pic:nvPicPr>
                    <pic:cNvPr descr="R-inputs_UBC-forWater-MSc_HMc/images/MSc_tasksflowchart.jpg" id="0" name="Picture"/>
                    <pic:cNvPicPr>
                      <a:picLocks noChangeArrowheads="1" noChangeAspect="1"/>
                    </pic:cNvPicPr>
                  </pic:nvPicPr>
                  <pic:blipFill>
                    <a:blip r:embed="rId101"/>
                    <a:stretch>
                      <a:fillRect/>
                    </a:stretch>
                  </pic:blipFill>
                  <pic:spPr bwMode="auto">
                    <a:xfrm>
                      <a:off x="0" y="0"/>
                      <a:ext cx="4334256" cy="4133088"/>
                    </a:xfrm>
                    <a:prstGeom prst="rect">
                      <a:avLst/>
                    </a:prstGeom>
                    <a:noFill/>
                    <a:ln w="9525">
                      <a:noFill/>
                      <a:headEnd/>
                      <a:tailEnd/>
                    </a:ln>
                  </pic:spPr>
                </pic:pic>
              </a:graphicData>
            </a:graphic>
          </wp:inline>
        </w:drawing>
      </w:r>
    </w:p>
    <w:p>
      <w:pPr>
        <w:pStyle w:val="ImageCaption"/>
      </w:pPr>
      <w:r>
        <w:rPr>
          <w:b/>
        </w:rPr>
        <w:t xml:space="preserve">Figure 2:</w:t>
      </w:r>
      <w:r>
        <w:t xml:space="preserve"> </w:t>
      </w:r>
      <w:r>
        <w:rPr>
          <w:i/>
        </w:rPr>
        <w:t xml:space="preserve">Masters thesis task flowchart</w:t>
      </w:r>
    </w:p>
    <w:p>
      <w:pPr>
        <w:pStyle w:val="BodyText"/>
      </w:pPr>
      <w:r>
        <w:t xml:space="preserve">The forWater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pPr>
        <w:pStyle w:val="CaptionedFigure"/>
      </w:pPr>
      <w:r>
        <w:drawing>
          <wp:inline>
            <wp:extent cx="5943600" cy="3970324"/>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SourceWater-forWater_smartart.jpg" id="0" name="Picture"/>
                    <pic:cNvPicPr>
                      <a:picLocks noChangeArrowheads="1" noChangeAspect="1"/>
                    </pic:cNvPicPr>
                  </pic:nvPicPr>
                  <pic:blipFill>
                    <a:blip r:embed="rId102"/>
                    <a:stretch>
                      <a:fillRect/>
                    </a:stretch>
                  </pic:blipFill>
                  <pic:spPr bwMode="auto">
                    <a:xfrm>
                      <a:off x="0" y="0"/>
                      <a:ext cx="5943600" cy="3970324"/>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3540650"/>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forWater_smartart.jpg" id="0" name="Picture"/>
                    <pic:cNvPicPr>
                      <a:picLocks noChangeArrowheads="1" noChangeAspect="1"/>
                    </pic:cNvPicPr>
                  </pic:nvPicPr>
                  <pic:blipFill>
                    <a:blip r:embed="rId103"/>
                    <a:stretch>
                      <a:fillRect/>
                    </a:stretch>
                  </pic:blipFill>
                  <pic:spPr bwMode="auto">
                    <a:xfrm>
                      <a:off x="0" y="0"/>
                      <a:ext cx="5943600" cy="3540650"/>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1550323"/>
            <wp:effectExtent b="0" l="0" r="0" t="0"/>
            <wp:docPr descr="forWater Research Themes" title="" id="1" name="Picture"/>
            <a:graphic>
              <a:graphicData uri="http://schemas.openxmlformats.org/drawingml/2006/picture">
                <pic:pic>
                  <pic:nvPicPr>
                    <pic:cNvPr descr="R-inputs_UBC-forWater-MSc_HMc/images/forWater_themes.jpg" id="0" name="Picture"/>
                    <pic:cNvPicPr>
                      <a:picLocks noChangeArrowheads="1" noChangeAspect="1"/>
                    </pic:cNvPicPr>
                  </pic:nvPicPr>
                  <pic:blipFill>
                    <a:blip r:embed="rId104"/>
                    <a:stretch>
                      <a:fillRect/>
                    </a:stretch>
                  </pic:blipFill>
                  <pic:spPr bwMode="auto">
                    <a:xfrm>
                      <a:off x="0" y="0"/>
                      <a:ext cx="5943600" cy="1550323"/>
                    </a:xfrm>
                    <a:prstGeom prst="rect">
                      <a:avLst/>
                    </a:prstGeom>
                    <a:noFill/>
                    <a:ln w="9525">
                      <a:noFill/>
                      <a:headEnd/>
                      <a:tailEnd/>
                    </a:ln>
                  </pic:spPr>
                </pic:pic>
              </a:graphicData>
            </a:graphic>
          </wp:inline>
        </w:drawing>
      </w:r>
    </w:p>
    <w:p>
      <w:pPr>
        <w:pStyle w:val="ImageCaption"/>
      </w:pPr>
      <w:r>
        <w:t xml:space="preserve">forWater Research Themes</w:t>
      </w:r>
    </w:p>
    <w:p>
      <w:pPr>
        <w:pStyle w:val="Heading1"/>
      </w:pPr>
      <w:bookmarkStart w:id="105" w:name="references-1"/>
      <w:r>
        <w:t xml:space="preserve">References</w:t>
      </w:r>
      <w:bookmarkEnd w:id="105"/>
    </w:p>
    <w:bookmarkStart w:id="178" w:name="refs"/>
    <w:bookmarkStart w:id="107"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06">
        <w:r>
          <w:rPr>
            <w:rStyle w:val="Hyperlink"/>
          </w:rPr>
          <w:t xml:space="preserve">https://doi.org/10.1111/ele.12897</w:t>
        </w:r>
      </w:hyperlink>
      <w:r>
        <w:t xml:space="preserve">.</w:t>
      </w:r>
    </w:p>
    <w:bookmarkEnd w:id="107"/>
    <w:bookmarkStart w:id="109"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08">
        <w:r>
          <w:rPr>
            <w:rStyle w:val="Hyperlink"/>
          </w:rPr>
          <w:t xml:space="preserve">https://doi.org/10.1021/es103992s</w:t>
        </w:r>
      </w:hyperlink>
      <w:r>
        <w:t xml:space="preserve">.</w:t>
      </w:r>
    </w:p>
    <w:bookmarkEnd w:id="109"/>
    <w:bookmarkStart w:id="111"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10">
        <w:r>
          <w:rPr>
            <w:rStyle w:val="Hyperlink"/>
          </w:rPr>
          <w:t xml:space="preserve">https://doi.org/10.1016/j.jhydrol.2014.05.060</w:t>
        </w:r>
      </w:hyperlink>
      <w:r>
        <w:t xml:space="preserve">.</w:t>
      </w:r>
    </w:p>
    <w:bookmarkEnd w:id="111"/>
    <w:bookmarkStart w:id="113" w:name="ref-BC2019"/>
    <w:p>
      <w:pPr>
        <w:pStyle w:val="Bibliography"/>
      </w:pPr>
      <w:r>
        <w:t xml:space="preserve">British Columbia Ministry of Environment. 2017. “Source Drinking Water Quality Guidelines: Guideline Summary.” Victoria, B.C.: Prov. B.C.</w:t>
      </w:r>
      <w:r>
        <w:t xml:space="preserve"> </w:t>
      </w:r>
      <w:hyperlink r:id="rId112">
        <w:r>
          <w:rPr>
            <w:rStyle w:val="Hyperlink"/>
          </w:rPr>
          <w:t xml:space="preserve">https://www2.gov.bc.ca/gov/content/governments/organizational-structure/ministries-organizations/ministries/environment-climate-change</w:t>
        </w:r>
      </w:hyperlink>
      <w:r>
        <w:t xml:space="preserve">.</w:t>
      </w:r>
    </w:p>
    <w:bookmarkEnd w:id="113"/>
    <w:bookmarkStart w:id="115"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14">
        <w:r>
          <w:rPr>
            <w:rStyle w:val="Hyperlink"/>
          </w:rPr>
          <w:t xml:space="preserve">https://doi.org/10.2166/aqua.2008.064</w:t>
        </w:r>
      </w:hyperlink>
      <w:r>
        <w:t xml:space="preserve">.</w:t>
      </w:r>
    </w:p>
    <w:bookmarkEnd w:id="115"/>
    <w:bookmarkStart w:id="117" w:name="ref-CapitalRegionDistrict2017"/>
    <w:p>
      <w:pPr>
        <w:pStyle w:val="Bibliography"/>
      </w:pPr>
      <w:r>
        <w:t xml:space="preserve">CRD. 2017. “Regional Water Supply 2017 Strategic Plan.” Victoria, B.C.: Capital Region District, Integrated Water Services.</w:t>
      </w:r>
      <w:r>
        <w:t xml:space="preserve"> </w:t>
      </w:r>
      <w:hyperlink r:id="rId116">
        <w:r>
          <w:rPr>
            <w:rStyle w:val="Hyperlink"/>
          </w:rPr>
          <w:t xml:space="preserve">https://www.crd.bc.ca/project/past-capital-projects-and-initiatives/water-supply-plan</w:t>
        </w:r>
      </w:hyperlink>
      <w:r>
        <w:t xml:space="preserve">.</w:t>
      </w:r>
    </w:p>
    <w:bookmarkEnd w:id="117"/>
    <w:bookmarkStart w:id="119"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18">
        <w:r>
          <w:rPr>
            <w:rStyle w:val="Hyperlink"/>
          </w:rPr>
          <w:t xml:space="preserve">https://doi.org/IWSS-297445977-5079</w:t>
        </w:r>
      </w:hyperlink>
      <w:r>
        <w:t xml:space="preserve">.</w:t>
      </w:r>
    </w:p>
    <w:bookmarkEnd w:id="119"/>
    <w:bookmarkStart w:id="121"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20">
        <w:r>
          <w:rPr>
            <w:rStyle w:val="Hyperlink"/>
          </w:rPr>
          <w:t xml:space="preserve">https://doi.org/10.1139/cjfas-2014-0400</w:t>
        </w:r>
      </w:hyperlink>
      <w:r>
        <w:t xml:space="preserve">.</w:t>
      </w:r>
    </w:p>
    <w:bookmarkEnd w:id="121"/>
    <w:bookmarkStart w:id="123"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22">
        <w:r>
          <w:rPr>
            <w:rStyle w:val="Hyperlink"/>
          </w:rPr>
          <w:t xml:space="preserve">https://doi.org/10.1016/j.watres.2016.08.031</w:t>
        </w:r>
      </w:hyperlink>
      <w:r>
        <w:t xml:space="preserve">.</w:t>
      </w:r>
    </w:p>
    <w:bookmarkEnd w:id="123"/>
    <w:bookmarkStart w:id="125"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24">
        <w:r>
          <w:rPr>
            <w:rStyle w:val="Hyperlink"/>
          </w:rPr>
          <w:t xml:space="preserve">http://scholar.google.com/scholar?hl=en{\&amp;}btnG=Search{\&amp;}q=intitle:Running+Pure{\#}1</w:t>
        </w:r>
      </w:hyperlink>
      <w:r>
        <w:t xml:space="preserve">.</w:t>
      </w:r>
    </w:p>
    <w:bookmarkEnd w:id="125"/>
    <w:bookmarkStart w:id="127"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26">
        <w:r>
          <w:rPr>
            <w:rStyle w:val="Hyperlink"/>
          </w:rPr>
          <w:t xml:space="preserve">http://www.standardmethods.org/</w:t>
        </w:r>
      </w:hyperlink>
      <w:r>
        <w:t xml:space="preserve">.</w:t>
      </w:r>
    </w:p>
    <w:bookmarkEnd w:id="127"/>
    <w:bookmarkStart w:id="129"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28">
        <w:r>
          <w:rPr>
            <w:rStyle w:val="Hyperlink"/>
          </w:rPr>
          <w:t xml:space="preserve">https://doi.org/10.3133/fs06700</w:t>
        </w:r>
      </w:hyperlink>
      <w:r>
        <w:t xml:space="preserve">.</w:t>
      </w:r>
    </w:p>
    <w:bookmarkEnd w:id="129"/>
    <w:bookmarkStart w:id="131" w:name="ref-HealthCanada2019"/>
    <w:p>
      <w:pPr>
        <w:pStyle w:val="Bibliography"/>
      </w:pPr>
      <w:r>
        <w:t xml:space="preserve">Health Canada. 2019. “Guidance on Natural Organic Matter in Drinking Water.”</w:t>
      </w:r>
      <w:r>
        <w:t xml:space="preserve"> </w:t>
      </w:r>
      <w:hyperlink r:id="rId130">
        <w:r>
          <w:rPr>
            <w:rStyle w:val="Hyperlink"/>
          </w:rPr>
          <w:t xml:space="preserve">https://www.canada.ca/content/dam/hc-sc/documents/programs/consultation-organic-matter-drinking-water/NOM20190129-eng.pdf</w:t>
        </w:r>
      </w:hyperlink>
      <w:r>
        <w:t xml:space="preserve">.</w:t>
      </w:r>
    </w:p>
    <w:bookmarkEnd w:id="131"/>
    <w:bookmarkStart w:id="133" w:name="ref-HealthCanada2006"/>
    <w:p>
      <w:pPr>
        <w:pStyle w:val="Bibliography"/>
      </w:pPr>
      <w:r>
        <w:t xml:space="preserve">HealthCanada. 2006. “Drinking Water Chlorination.”</w:t>
      </w:r>
      <w:r>
        <w:t xml:space="preserve"> </w:t>
      </w:r>
      <w:hyperlink r:id="rId132">
        <w:r>
          <w:rPr>
            <w:rStyle w:val="Hyperlink"/>
          </w:rPr>
          <w:t xml:space="preserve">https://www.canada.ca/en/health-canada/services/healthy-living/your-health/environment/drinking-water-chlorination.html</w:t>
        </w:r>
      </w:hyperlink>
      <w:r>
        <w:t xml:space="preserve">.</w:t>
      </w:r>
    </w:p>
    <w:bookmarkEnd w:id="133"/>
    <w:bookmarkStart w:id="135" w:name="ref-HealthLinkBC2018"/>
    <w:p>
      <w:pPr>
        <w:pStyle w:val="Bibliography"/>
      </w:pPr>
      <w:r>
        <w:t xml:space="preserve">HealthLinkBC. 2018. “Drinking Water Chlorination Facts.”</w:t>
      </w:r>
      <w:r>
        <w:t xml:space="preserve"> </w:t>
      </w:r>
      <w:hyperlink r:id="rId134">
        <w:r>
          <w:rPr>
            <w:rStyle w:val="Hyperlink"/>
          </w:rPr>
          <w:t xml:space="preserve">https://www.healthlinkbc.ca/healthlinkbc-files/drinking-water-chlorination</w:t>
        </w:r>
      </w:hyperlink>
      <w:r>
        <w:t xml:space="preserve">.</w:t>
      </w:r>
    </w:p>
    <w:bookmarkEnd w:id="135"/>
    <w:bookmarkStart w:id="137"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36">
        <w:r>
          <w:rPr>
            <w:rStyle w:val="Hyperlink"/>
          </w:rPr>
          <w:t xml:space="preserve">https://www.jstor.org/stable/40058211</w:t>
        </w:r>
      </w:hyperlink>
      <w:r>
        <w:t xml:space="preserve">.</w:t>
      </w:r>
    </w:p>
    <w:bookmarkEnd w:id="137"/>
    <w:bookmarkStart w:id="139"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38">
        <w:r>
          <w:rPr>
            <w:rStyle w:val="Hyperlink"/>
          </w:rPr>
          <w:t xml:space="preserve">https://doi.org/10.1016/j.chemosphere.2015.03.039</w:t>
        </w:r>
      </w:hyperlink>
      <w:r>
        <w:t xml:space="preserve">.</w:t>
      </w:r>
    </w:p>
    <w:bookmarkEnd w:id="139"/>
    <w:bookmarkStart w:id="141"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40">
        <w:r>
          <w:rPr>
            <w:rStyle w:val="Hyperlink"/>
          </w:rPr>
          <w:t xml:space="preserve">https://doi.org/doi:10.1046/j.1365-2427.1997.d01-539.x</w:t>
        </w:r>
      </w:hyperlink>
      <w:r>
        <w:t xml:space="preserve">.</w:t>
      </w:r>
    </w:p>
    <w:bookmarkEnd w:id="141"/>
    <w:bookmarkStart w:id="143"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42">
        <w:r>
          <w:rPr>
            <w:rStyle w:val="Hyperlink"/>
          </w:rPr>
          <w:t xml:space="preserve">https://archive.org/details/metaltransportre00lazeuoft/mode/2up</w:t>
        </w:r>
      </w:hyperlink>
      <w:r>
        <w:t xml:space="preserve">.</w:t>
      </w:r>
    </w:p>
    <w:bookmarkEnd w:id="143"/>
    <w:bookmarkStart w:id="145"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44">
        <w:r>
          <w:rPr>
            <w:rStyle w:val="Hyperlink"/>
          </w:rPr>
          <w:t xml:space="preserve">https://doi.org/10.1016/j.jhazmat.2014.02.009</w:t>
        </w:r>
      </w:hyperlink>
      <w:r>
        <w:t xml:space="preserve">.</w:t>
      </w:r>
    </w:p>
    <w:bookmarkEnd w:id="145"/>
    <w:bookmarkStart w:id="147"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46">
        <w:r>
          <w:rPr>
            <w:rStyle w:val="Hyperlink"/>
          </w:rPr>
          <w:t xml:space="preserve">https://doi.org/10.1016/j.chemosphere.2011.01.018</w:t>
        </w:r>
      </w:hyperlink>
      <w:r>
        <w:t xml:space="preserve">.</w:t>
      </w:r>
    </w:p>
    <w:bookmarkEnd w:id="147"/>
    <w:bookmarkStart w:id="149" w:name="ref-Meyer1983"/>
    <w:p>
      <w:pPr>
        <w:pStyle w:val="Bibliography"/>
      </w:pPr>
      <w:r>
        <w:t xml:space="preserve">Meyer, Judy L., and Cathy M . Tate. 1983. “The Effects of Watershed Disturbance on Dissolved Organic Carbon Dynamics of a Stream Author.”</w:t>
      </w:r>
      <w:r>
        <w:t xml:space="preserve"> </w:t>
      </w:r>
      <w:r>
        <w:rPr>
          <w:i/>
        </w:rPr>
        <w:t xml:space="preserve">Ecology</w:t>
      </w:r>
      <w:r>
        <w:t xml:space="preserve"> </w:t>
      </w:r>
      <w:r>
        <w:t xml:space="preserve">64 (1): 33–44.</w:t>
      </w:r>
      <w:r>
        <w:t xml:space="preserve"> </w:t>
      </w:r>
      <w:hyperlink r:id="rId148">
        <w:r>
          <w:rPr>
            <w:rStyle w:val="Hyperlink"/>
          </w:rPr>
          <w:t xml:space="preserve">https://www.jstor.org/stable/1937326</w:t>
        </w:r>
      </w:hyperlink>
      <w:r>
        <w:t xml:space="preserve">.</w:t>
      </w:r>
    </w:p>
    <w:bookmarkEnd w:id="149"/>
    <w:bookmarkStart w:id="150"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50"/>
    <w:bookmarkStart w:id="152"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51">
        <w:r>
          <w:rPr>
            <w:rStyle w:val="Hyperlink"/>
          </w:rPr>
          <w:t xml:space="preserve">https://doi.org/10.1007/s10533-015-0103-6</w:t>
        </w:r>
      </w:hyperlink>
      <w:r>
        <w:t xml:space="preserve">.</w:t>
      </w:r>
    </w:p>
    <w:bookmarkEnd w:id="152"/>
    <w:bookmarkStart w:id="154"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53">
        <w:r>
          <w:rPr>
            <w:rStyle w:val="Hyperlink"/>
          </w:rPr>
          <w:t xml:space="preserve">https://doi.org/10.5194/bg-10-2315-2013</w:t>
        </w:r>
      </w:hyperlink>
      <w:r>
        <w:t xml:space="preserve">.</w:t>
      </w:r>
    </w:p>
    <w:bookmarkEnd w:id="154"/>
    <w:bookmarkStart w:id="156"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55">
        <w:r>
          <w:rPr>
            <w:rStyle w:val="Hyperlink"/>
          </w:rPr>
          <w:t xml:space="preserve">https://doi.org/10.1007/s11270-013-1651-9</w:t>
        </w:r>
      </w:hyperlink>
      <w:r>
        <w:t xml:space="preserve">.</w:t>
      </w:r>
    </w:p>
    <w:bookmarkEnd w:id="156"/>
    <w:bookmarkStart w:id="158"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57">
        <w:r>
          <w:rPr>
            <w:rStyle w:val="Hyperlink"/>
          </w:rPr>
          <w:t xml:space="preserve">https://www.for.gov.bc.ca/hfd/pubs/docs/lmh/Lmh66/LMH66{\_}volume2of2.pdf</w:t>
        </w:r>
      </w:hyperlink>
      <w:r>
        <w:t xml:space="preserve">.</w:t>
      </w:r>
    </w:p>
    <w:bookmarkEnd w:id="158"/>
    <w:bookmarkStart w:id="159"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59"/>
    <w:bookmarkStart w:id="161"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60">
        <w:r>
          <w:rPr>
            <w:rStyle w:val="Hyperlink"/>
          </w:rPr>
          <w:t xml:space="preserve">https://doi.org/10.1007/sl0533-010-9416-7</w:t>
        </w:r>
      </w:hyperlink>
      <w:r>
        <w:t xml:space="preserve">.</w:t>
      </w:r>
    </w:p>
    <w:bookmarkEnd w:id="161"/>
    <w:bookmarkStart w:id="163"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62">
        <w:r>
          <w:rPr>
            <w:rStyle w:val="Hyperlink"/>
          </w:rPr>
          <w:t xml:space="preserve">https://www.jstor.org/stable/24702986</w:t>
        </w:r>
      </w:hyperlink>
      <w:r>
        <w:t xml:space="preserve">.</w:t>
      </w:r>
    </w:p>
    <w:bookmarkEnd w:id="163"/>
    <w:bookmarkStart w:id="165"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64">
        <w:r>
          <w:rPr>
            <w:rStyle w:val="Hyperlink"/>
          </w:rPr>
          <w:t xml:space="preserve">https://doi.org/10.1016/j.mrrev.2007.09.001</w:t>
        </w:r>
      </w:hyperlink>
      <w:r>
        <w:t xml:space="preserve">.</w:t>
      </w:r>
    </w:p>
    <w:bookmarkEnd w:id="165"/>
    <w:bookmarkStart w:id="167"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66">
        <w:r>
          <w:rPr>
            <w:rStyle w:val="Hyperlink"/>
          </w:rPr>
          <w:t xml:space="preserve">https://doi.org/10.1111/j.1365-2427.2011.02613.x</w:t>
        </w:r>
      </w:hyperlink>
      <w:r>
        <w:t xml:space="preserve">.</w:t>
      </w:r>
    </w:p>
    <w:bookmarkEnd w:id="167"/>
    <w:bookmarkStart w:id="168"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68"/>
    <w:bookmarkStart w:id="169"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69"/>
    <w:bookmarkStart w:id="171"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70">
        <w:r>
          <w:rPr>
            <w:rStyle w:val="Hyperlink"/>
          </w:rPr>
          <w:t xml:space="preserve">https://doi.org/10.1007/s10533-008-9207-6</w:t>
        </w:r>
      </w:hyperlink>
      <w:r>
        <w:t xml:space="preserve">.</w:t>
      </w:r>
    </w:p>
    <w:bookmarkEnd w:id="171"/>
    <w:bookmarkStart w:id="173"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72">
        <w:r>
          <w:rPr>
            <w:rStyle w:val="Hyperlink"/>
          </w:rPr>
          <w:t xml:space="preserve">https://doi.org/10.1021/es030360x</w:t>
        </w:r>
      </w:hyperlink>
      <w:r>
        <w:t xml:space="preserve">.</w:t>
      </w:r>
    </w:p>
    <w:bookmarkEnd w:id="173"/>
    <w:bookmarkStart w:id="175"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74">
        <w:r>
          <w:rPr>
            <w:rStyle w:val="Hyperlink"/>
          </w:rPr>
          <w:t xml:space="preserve">https://doi.org/10.1007/s11356-015-4078-6</w:t>
        </w:r>
      </w:hyperlink>
      <w:r>
        <w:t xml:space="preserve">.</w:t>
      </w:r>
    </w:p>
    <w:bookmarkEnd w:id="175"/>
    <w:bookmarkStart w:id="177"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76">
        <w:r>
          <w:rPr>
            <w:rStyle w:val="Hyperlink"/>
          </w:rPr>
          <w:t xml:space="preserve">https://doi.org/10.1029/2018GL080005</w:t>
        </w:r>
      </w:hyperlink>
      <w:r>
        <w:t xml:space="preserve">.</w:t>
      </w:r>
    </w:p>
    <w:bookmarkEnd w:id="177"/>
    <w:bookmarkEnd w:id="178"/>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3DD9B13B" w14:textId="77777777" w:rsidR="00CC27DB" w:rsidRDefault="00D6264D" w:rsidP="000E25D6">
        <w:pPr>
          <w:pStyle w:val="Footer"/>
        </w:pPr>
        <w:r>
          <w:fldChar w:fldCharType="begin"/>
        </w:r>
        <w:r>
          <w:instrText xml:space="preserve"> PAGE   \* MERGEFORMAT </w:instrText>
        </w:r>
        <w:r>
          <w:fldChar w:fldCharType="separate"/>
        </w:r>
        <w:r>
          <w:rPr>
            <w:noProof/>
          </w:rPr>
          <w:t>2</w:t>
        </w:r>
        <w:r>
          <w:rPr>
            <w:noProof/>
          </w:rPr>
          <w:fldChar w:fldCharType="end"/>
        </w:r>
      </w:p>
    </w:sdtContent>
  </w:sdt>
  <w:p w14:paraId="6371077D" w14:textId="77777777" w:rsidR="00CC27DB" w:rsidRDefault="006F7B07" w:rsidP="000E25D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E25D6"/>
    <w:pPr>
      <w:spacing w:before="240"/>
    </w:pPr>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spacing w:before="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BC3B16"/>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1" Target="media/rId81.jpg" /><Relationship Type="http://schemas.openxmlformats.org/officeDocument/2006/relationships/image" Id="rId82" Target="media/rId82.jpg" /><Relationship Type="http://schemas.openxmlformats.org/officeDocument/2006/relationships/image" Id="rId39" Target="media/rId39.png" /><Relationship Type="http://schemas.openxmlformats.org/officeDocument/2006/relationships/image" Id="rId79" Target="media/rId79.jpg" /><Relationship Type="http://schemas.openxmlformats.org/officeDocument/2006/relationships/image" Id="rId101" Target="media/rId101.jpg" /><Relationship Type="http://schemas.openxmlformats.org/officeDocument/2006/relationships/image" Id="rId42" Target="media/rId42.png" /><Relationship Type="http://schemas.openxmlformats.org/officeDocument/2006/relationships/image" Id="rId102" Target="media/rId102.jpg" /><Relationship Type="http://schemas.openxmlformats.org/officeDocument/2006/relationships/image" Id="rId85" Target="media/rId85.jpg" /><Relationship Type="http://schemas.openxmlformats.org/officeDocument/2006/relationships/image" Id="rId84" Target="media/rId84.jpg" /><Relationship Type="http://schemas.openxmlformats.org/officeDocument/2006/relationships/image" Id="rId103" Target="media/rId103.jpg" /><Relationship Type="http://schemas.openxmlformats.org/officeDocument/2006/relationships/image" Id="rId104" Target="media/rId104.jpg" /><Relationship Type="http://schemas.openxmlformats.org/officeDocument/2006/relationships/image" Id="rId46" Target="media/rId46.png" /><Relationship Type="http://schemas.openxmlformats.org/officeDocument/2006/relationships/image" Id="rId44" Target="media/rId44.jpg" /><Relationship Type="http://schemas.openxmlformats.org/officeDocument/2006/relationships/hyperlink" Id="rId47" Target="http://odysseydatarecording.com/index.php?route=product/product&amp;product_id=50" TargetMode="External" /><Relationship Type="http://schemas.openxmlformats.org/officeDocument/2006/relationships/hyperlink" Id="rId124"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6" Target="http://www.standardmethods.org/" TargetMode="External" /><Relationship Type="http://schemas.openxmlformats.org/officeDocument/2006/relationships/hyperlink" Id="rId142" Target="https://archive.org/details/metaltransportre00lazeuoft/mode/2up" TargetMode="External" /><Relationship Type="http://schemas.openxmlformats.org/officeDocument/2006/relationships/hyperlink" Id="rId170" Target="https://doi.org/10.1007/s10533-008-9207-6" TargetMode="External" /><Relationship Type="http://schemas.openxmlformats.org/officeDocument/2006/relationships/hyperlink" Id="rId151" Target="https://doi.org/10.1007/s10533-015-0103-6" TargetMode="External" /><Relationship Type="http://schemas.openxmlformats.org/officeDocument/2006/relationships/hyperlink" Id="rId155" Target="https://doi.org/10.1007/s11270-013-1651-9" TargetMode="External" /><Relationship Type="http://schemas.openxmlformats.org/officeDocument/2006/relationships/hyperlink" Id="rId174" Target="https://doi.org/10.1007/s11356-015-4078-6" TargetMode="External" /><Relationship Type="http://schemas.openxmlformats.org/officeDocument/2006/relationships/hyperlink" Id="rId160" Target="https://doi.org/10.1007/sl0533-010-9416-7" TargetMode="External" /><Relationship Type="http://schemas.openxmlformats.org/officeDocument/2006/relationships/hyperlink" Id="rId146" Target="https://doi.org/10.1016/j.chemosphere.2011.01.018" TargetMode="External" /><Relationship Type="http://schemas.openxmlformats.org/officeDocument/2006/relationships/hyperlink" Id="rId138" Target="https://doi.org/10.1016/j.chemosphere.2015.03.039" TargetMode="External" /><Relationship Type="http://schemas.openxmlformats.org/officeDocument/2006/relationships/hyperlink" Id="rId144" Target="https://doi.org/10.1016/j.jhazmat.2014.02.009" TargetMode="External" /><Relationship Type="http://schemas.openxmlformats.org/officeDocument/2006/relationships/hyperlink" Id="rId110" Target="https://doi.org/10.1016/j.jhydrol.2014.05.060" TargetMode="External" /><Relationship Type="http://schemas.openxmlformats.org/officeDocument/2006/relationships/hyperlink" Id="rId164" Target="https://doi.org/10.1016/j.mrrev.2007.09.001" TargetMode="External" /><Relationship Type="http://schemas.openxmlformats.org/officeDocument/2006/relationships/hyperlink" Id="rId122" Target="https://doi.org/10.1016/j.watres.2016.08.031" TargetMode="External" /><Relationship Type="http://schemas.openxmlformats.org/officeDocument/2006/relationships/hyperlink" Id="rId172" Target="https://doi.org/10.1021/es030360x" TargetMode="External" /><Relationship Type="http://schemas.openxmlformats.org/officeDocument/2006/relationships/hyperlink" Id="rId108" Target="https://doi.org/10.1021/es103992s" TargetMode="External" /><Relationship Type="http://schemas.openxmlformats.org/officeDocument/2006/relationships/hyperlink" Id="rId176" Target="https://doi.org/10.1029/2018GL080005" TargetMode="External" /><Relationship Type="http://schemas.openxmlformats.org/officeDocument/2006/relationships/hyperlink" Id="rId106" Target="https://doi.org/10.1111/ele.12897" TargetMode="External" /><Relationship Type="http://schemas.openxmlformats.org/officeDocument/2006/relationships/hyperlink" Id="rId166" Target="https://doi.org/10.1111/j.1365-2427.2011.02613.x" TargetMode="External" /><Relationship Type="http://schemas.openxmlformats.org/officeDocument/2006/relationships/hyperlink" Id="rId120" Target="https://doi.org/10.1139/cjfas-2014-0400" TargetMode="External" /><Relationship Type="http://schemas.openxmlformats.org/officeDocument/2006/relationships/hyperlink" Id="rId114" Target="https://doi.org/10.2166/aqua.2008.064" TargetMode="External" /><Relationship Type="http://schemas.openxmlformats.org/officeDocument/2006/relationships/hyperlink" Id="rId128" Target="https://doi.org/10.3133/fs06700" TargetMode="External" /><Relationship Type="http://schemas.openxmlformats.org/officeDocument/2006/relationships/hyperlink" Id="rId153" Target="https://doi.org/10.5194/bg-10-2315-2013" TargetMode="External" /><Relationship Type="http://schemas.openxmlformats.org/officeDocument/2006/relationships/hyperlink" Id="rId118" Target="https://doi.org/IWSS-297445977-5079" TargetMode="External" /><Relationship Type="http://schemas.openxmlformats.org/officeDocument/2006/relationships/hyperlink" Id="rId140" Target="https://doi.org/doi:10.1046/j.1365-2427.1997.d01-539.x" TargetMode="External" /><Relationship Type="http://schemas.openxmlformats.org/officeDocument/2006/relationships/hyperlink" Id="rId130" Target="https://www.canada.ca/content/dam/hc-sc/documents/programs/consultation-organic-matter-drinking-water/NOM20190129-eng.pdf" TargetMode="External" /><Relationship Type="http://schemas.openxmlformats.org/officeDocument/2006/relationships/hyperlink" Id="rId132" Target="https://www.canada.ca/en/health-canada/services/healthy-living/your-health/environment/drinking-water-chlorination.html" TargetMode="External" /><Relationship Type="http://schemas.openxmlformats.org/officeDocument/2006/relationships/hyperlink" Id="rId116" Target="https://www.crd.bc.ca/project/past-capital-projects-and-initiatives/water-supply-plan" TargetMode="External" /><Relationship Type="http://schemas.openxmlformats.org/officeDocument/2006/relationships/hyperlink" Id="rId15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34" Target="https://www.healthlinkbc.ca/healthlinkbc-files/drinking-water-chlorination" TargetMode="External" /><Relationship Type="http://schemas.openxmlformats.org/officeDocument/2006/relationships/hyperlink" Id="rId148" Target="https://www.jstor.org/stable/1937326" TargetMode="External" /><Relationship Type="http://schemas.openxmlformats.org/officeDocument/2006/relationships/hyperlink" Id="rId162" Target="https://www.jstor.org/stable/24702986" TargetMode="External" /><Relationship Type="http://schemas.openxmlformats.org/officeDocument/2006/relationships/hyperlink" Id="rId136" Target="https://www.jstor.org/stable/40058211" TargetMode="External" /><Relationship Type="http://schemas.openxmlformats.org/officeDocument/2006/relationships/hyperlink" Id="rId112"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47" Target="http://odysseydatarecording.com/index.php?route=product/product&amp;product_id=50" TargetMode="External" /><Relationship Type="http://schemas.openxmlformats.org/officeDocument/2006/relationships/hyperlink" Id="rId124"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6" Target="http://www.standardmethods.org/" TargetMode="External" /><Relationship Type="http://schemas.openxmlformats.org/officeDocument/2006/relationships/hyperlink" Id="rId142" Target="https://archive.org/details/metaltransportre00lazeuoft/mode/2up" TargetMode="External" /><Relationship Type="http://schemas.openxmlformats.org/officeDocument/2006/relationships/hyperlink" Id="rId170" Target="https://doi.org/10.1007/s10533-008-9207-6" TargetMode="External" /><Relationship Type="http://schemas.openxmlformats.org/officeDocument/2006/relationships/hyperlink" Id="rId151" Target="https://doi.org/10.1007/s10533-015-0103-6" TargetMode="External" /><Relationship Type="http://schemas.openxmlformats.org/officeDocument/2006/relationships/hyperlink" Id="rId155" Target="https://doi.org/10.1007/s11270-013-1651-9" TargetMode="External" /><Relationship Type="http://schemas.openxmlformats.org/officeDocument/2006/relationships/hyperlink" Id="rId174" Target="https://doi.org/10.1007/s11356-015-4078-6" TargetMode="External" /><Relationship Type="http://schemas.openxmlformats.org/officeDocument/2006/relationships/hyperlink" Id="rId160" Target="https://doi.org/10.1007/sl0533-010-9416-7" TargetMode="External" /><Relationship Type="http://schemas.openxmlformats.org/officeDocument/2006/relationships/hyperlink" Id="rId146" Target="https://doi.org/10.1016/j.chemosphere.2011.01.018" TargetMode="External" /><Relationship Type="http://schemas.openxmlformats.org/officeDocument/2006/relationships/hyperlink" Id="rId138" Target="https://doi.org/10.1016/j.chemosphere.2015.03.039" TargetMode="External" /><Relationship Type="http://schemas.openxmlformats.org/officeDocument/2006/relationships/hyperlink" Id="rId144" Target="https://doi.org/10.1016/j.jhazmat.2014.02.009" TargetMode="External" /><Relationship Type="http://schemas.openxmlformats.org/officeDocument/2006/relationships/hyperlink" Id="rId110" Target="https://doi.org/10.1016/j.jhydrol.2014.05.060" TargetMode="External" /><Relationship Type="http://schemas.openxmlformats.org/officeDocument/2006/relationships/hyperlink" Id="rId164" Target="https://doi.org/10.1016/j.mrrev.2007.09.001" TargetMode="External" /><Relationship Type="http://schemas.openxmlformats.org/officeDocument/2006/relationships/hyperlink" Id="rId122" Target="https://doi.org/10.1016/j.watres.2016.08.031" TargetMode="External" /><Relationship Type="http://schemas.openxmlformats.org/officeDocument/2006/relationships/hyperlink" Id="rId172" Target="https://doi.org/10.1021/es030360x" TargetMode="External" /><Relationship Type="http://schemas.openxmlformats.org/officeDocument/2006/relationships/hyperlink" Id="rId108" Target="https://doi.org/10.1021/es103992s" TargetMode="External" /><Relationship Type="http://schemas.openxmlformats.org/officeDocument/2006/relationships/hyperlink" Id="rId176" Target="https://doi.org/10.1029/2018GL080005" TargetMode="External" /><Relationship Type="http://schemas.openxmlformats.org/officeDocument/2006/relationships/hyperlink" Id="rId106" Target="https://doi.org/10.1111/ele.12897" TargetMode="External" /><Relationship Type="http://schemas.openxmlformats.org/officeDocument/2006/relationships/hyperlink" Id="rId166" Target="https://doi.org/10.1111/j.1365-2427.2011.02613.x" TargetMode="External" /><Relationship Type="http://schemas.openxmlformats.org/officeDocument/2006/relationships/hyperlink" Id="rId120" Target="https://doi.org/10.1139/cjfas-2014-0400" TargetMode="External" /><Relationship Type="http://schemas.openxmlformats.org/officeDocument/2006/relationships/hyperlink" Id="rId114" Target="https://doi.org/10.2166/aqua.2008.064" TargetMode="External" /><Relationship Type="http://schemas.openxmlformats.org/officeDocument/2006/relationships/hyperlink" Id="rId128" Target="https://doi.org/10.3133/fs06700" TargetMode="External" /><Relationship Type="http://schemas.openxmlformats.org/officeDocument/2006/relationships/hyperlink" Id="rId153" Target="https://doi.org/10.5194/bg-10-2315-2013" TargetMode="External" /><Relationship Type="http://schemas.openxmlformats.org/officeDocument/2006/relationships/hyperlink" Id="rId118" Target="https://doi.org/IWSS-297445977-5079" TargetMode="External" /><Relationship Type="http://schemas.openxmlformats.org/officeDocument/2006/relationships/hyperlink" Id="rId140" Target="https://doi.org/doi:10.1046/j.1365-2427.1997.d01-539.x" TargetMode="External" /><Relationship Type="http://schemas.openxmlformats.org/officeDocument/2006/relationships/hyperlink" Id="rId130" Target="https://www.canada.ca/content/dam/hc-sc/documents/programs/consultation-organic-matter-drinking-water/NOM20190129-eng.pdf" TargetMode="External" /><Relationship Type="http://schemas.openxmlformats.org/officeDocument/2006/relationships/hyperlink" Id="rId132" Target="https://www.canada.ca/en/health-canada/services/healthy-living/your-health/environment/drinking-water-chlorination.html" TargetMode="External" /><Relationship Type="http://schemas.openxmlformats.org/officeDocument/2006/relationships/hyperlink" Id="rId116" Target="https://www.crd.bc.ca/project/past-capital-projects-and-initiatives/water-supply-plan" TargetMode="External" /><Relationship Type="http://schemas.openxmlformats.org/officeDocument/2006/relationships/hyperlink" Id="rId15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34" Target="https://www.healthlinkbc.ca/healthlinkbc-files/drinking-water-chlorination" TargetMode="External" /><Relationship Type="http://schemas.openxmlformats.org/officeDocument/2006/relationships/hyperlink" Id="rId148" Target="https://www.jstor.org/stable/1937326" TargetMode="External" /><Relationship Type="http://schemas.openxmlformats.org/officeDocument/2006/relationships/hyperlink" Id="rId162" Target="https://www.jstor.org/stable/24702986" TargetMode="External" /><Relationship Type="http://schemas.openxmlformats.org/officeDocument/2006/relationships/hyperlink" Id="rId136" Target="https://www.jstor.org/stable/40058211" TargetMode="External" /><Relationship Type="http://schemas.openxmlformats.org/officeDocument/2006/relationships/hyperlink" Id="rId112"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Pages>
  <Words>82</Words>
  <Characters>473</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2020-02-18T08:33:46Z</dcterms:created>
  <dcterms:modified xsi:type="dcterms:W3CDTF">2020-02-18T08:33:46Z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